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4D" w:rsidRPr="0097674D" w:rsidRDefault="0097674D" w:rsidP="0097674D">
      <w:pPr>
        <w:widowControl/>
        <w:shd w:val="clear" w:color="auto" w:fill="FFFFFF"/>
        <w:spacing w:line="600" w:lineRule="atLeast"/>
        <w:jc w:val="center"/>
        <w:rPr>
          <w:rFonts w:ascii="Simsun" w:eastAsia="宋体" w:hAnsi="Simsun" w:cs="宋体"/>
          <w:b/>
          <w:bCs/>
          <w:color w:val="003CC8"/>
          <w:kern w:val="0"/>
          <w:sz w:val="33"/>
          <w:szCs w:val="33"/>
        </w:rPr>
      </w:pPr>
      <w:r w:rsidRPr="0097674D">
        <w:rPr>
          <w:rFonts w:ascii="Simsun" w:eastAsia="宋体" w:hAnsi="Simsun" w:cs="宋体"/>
          <w:b/>
          <w:bCs/>
          <w:color w:val="003CC8"/>
          <w:kern w:val="0"/>
          <w:sz w:val="33"/>
          <w:szCs w:val="33"/>
        </w:rPr>
        <w:t>医疗器械监督管理条例（国务院令第</w:t>
      </w:r>
      <w:r w:rsidRPr="0097674D">
        <w:rPr>
          <w:rFonts w:ascii="Simsun" w:eastAsia="宋体" w:hAnsi="Simsun" w:cs="宋体"/>
          <w:b/>
          <w:bCs/>
          <w:color w:val="003CC8"/>
          <w:kern w:val="0"/>
          <w:sz w:val="33"/>
          <w:szCs w:val="33"/>
        </w:rPr>
        <w:t>650</w:t>
      </w:r>
      <w:r w:rsidRPr="0097674D">
        <w:rPr>
          <w:rFonts w:ascii="Simsun" w:eastAsia="宋体" w:hAnsi="Simsun" w:cs="宋体"/>
          <w:b/>
          <w:bCs/>
          <w:color w:val="003CC8"/>
          <w:kern w:val="0"/>
          <w:sz w:val="33"/>
          <w:szCs w:val="33"/>
        </w:rPr>
        <w:t>号）</w:t>
      </w:r>
    </w:p>
    <w:p w:rsidR="0097674D" w:rsidRDefault="0097674D" w:rsidP="0097674D">
      <w:pPr>
        <w:widowControl/>
        <w:shd w:val="clear" w:color="auto" w:fill="FFFFFF"/>
        <w:jc w:val="center"/>
        <w:rPr>
          <w:rFonts w:ascii="仿宋_GB2312" w:eastAsia="仿宋_GB2312" w:hAnsi="Simsun" w:cs="宋体" w:hint="eastAsia"/>
          <w:color w:val="000000"/>
          <w:kern w:val="0"/>
          <w:sz w:val="32"/>
          <w:szCs w:val="32"/>
        </w:rPr>
      </w:pPr>
    </w:p>
    <w:p w:rsidR="0097674D" w:rsidRPr="0097674D" w:rsidRDefault="0097674D" w:rsidP="0097674D">
      <w:pPr>
        <w:widowControl/>
        <w:shd w:val="clear" w:color="auto" w:fill="FFFFFF"/>
        <w:jc w:val="center"/>
        <w:rPr>
          <w:rFonts w:ascii="仿宋_GB2312" w:eastAsia="仿宋_GB2312" w:hAnsi="Simsun" w:cs="宋体"/>
          <w:color w:val="000000"/>
          <w:kern w:val="0"/>
          <w:sz w:val="32"/>
          <w:szCs w:val="32"/>
        </w:rPr>
      </w:pPr>
      <w:r w:rsidRPr="0097674D">
        <w:rPr>
          <w:rFonts w:ascii="仿宋_GB2312" w:eastAsia="仿宋_GB2312" w:hAnsi="Simsun" w:cs="宋体" w:hint="eastAsia"/>
          <w:color w:val="000000"/>
          <w:kern w:val="0"/>
          <w:sz w:val="32"/>
          <w:szCs w:val="32"/>
        </w:rPr>
        <w:t>国务院令 第650号</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xml:space="preserve">　　《医疗器械监督管理条例》已经2014年2月12日国务院第39次常务会议修订通过，现将修订后的《医疗器械监督管理条例》公布，自2014年6月1日起施行。</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jc w:val="right"/>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总理　李克强</w:t>
      </w:r>
    </w:p>
    <w:p w:rsidR="0097674D" w:rsidRPr="0097674D" w:rsidRDefault="0097674D" w:rsidP="0097674D">
      <w:pPr>
        <w:widowControl/>
        <w:shd w:val="clear" w:color="auto" w:fill="FFFFFF"/>
        <w:jc w:val="right"/>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2014年3月7日</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jc w:val="center"/>
        <w:rPr>
          <w:rFonts w:ascii="仿宋_GB2312" w:eastAsia="仿宋_GB2312" w:hAnsi="Simsun" w:cs="宋体" w:hint="eastAsia"/>
          <w:color w:val="000000"/>
          <w:kern w:val="0"/>
          <w:sz w:val="32"/>
          <w:szCs w:val="32"/>
        </w:rPr>
      </w:pPr>
      <w:r w:rsidRPr="0097674D">
        <w:rPr>
          <w:rFonts w:ascii="仿宋_GB2312" w:eastAsia="仿宋_GB2312" w:hAnsi="Simsun" w:cs="宋体" w:hint="eastAsia"/>
          <w:b/>
          <w:bCs/>
          <w:color w:val="000000"/>
          <w:kern w:val="0"/>
          <w:sz w:val="32"/>
        </w:rPr>
        <w:t>医疗器械监督管理条例</w:t>
      </w:r>
      <w:r w:rsidRPr="0097674D">
        <w:rPr>
          <w:rFonts w:ascii="仿宋_GB2312" w:eastAsia="仿宋_GB2312" w:hAnsi="Simsun" w:cs="宋体" w:hint="eastAsia"/>
          <w:b/>
          <w:bCs/>
          <w:color w:val="000000"/>
          <w:kern w:val="0"/>
          <w:sz w:val="32"/>
          <w:szCs w:val="32"/>
        </w:rPr>
        <w:br/>
      </w:r>
      <w:r w:rsidRPr="0097674D">
        <w:rPr>
          <w:rFonts w:ascii="楷体_GB2312" w:eastAsia="楷体_GB2312" w:hAnsi="Simsun" w:cs="宋体" w:hint="eastAsia"/>
          <w:color w:val="000000"/>
          <w:kern w:val="0"/>
          <w:sz w:val="28"/>
          <w:szCs w:val="28"/>
        </w:rPr>
        <w:t xml:space="preserve">（2000年1月4日中华人民共和国国务院令第276号公布　</w:t>
      </w:r>
    </w:p>
    <w:p w:rsidR="0097674D" w:rsidRPr="0097674D" w:rsidRDefault="0097674D" w:rsidP="0097674D">
      <w:pPr>
        <w:widowControl/>
        <w:shd w:val="clear" w:color="auto" w:fill="FFFFFF"/>
        <w:jc w:val="center"/>
        <w:rPr>
          <w:rFonts w:ascii="仿宋_GB2312" w:eastAsia="仿宋_GB2312" w:hAnsi="Simsun" w:cs="宋体" w:hint="eastAsia"/>
          <w:color w:val="000000"/>
          <w:kern w:val="0"/>
          <w:sz w:val="32"/>
          <w:szCs w:val="32"/>
        </w:rPr>
      </w:pPr>
      <w:r w:rsidRPr="0097674D">
        <w:rPr>
          <w:rFonts w:ascii="楷体_GB2312" w:eastAsia="楷体_GB2312" w:hAnsi="Simsun" w:cs="宋体" w:hint="eastAsia"/>
          <w:color w:val="000000"/>
          <w:kern w:val="0"/>
          <w:sz w:val="28"/>
          <w:szCs w:val="28"/>
        </w:rPr>
        <w:t>2014年2月12日国务院第39次常务会议修订通过）</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jc w:val="center"/>
        <w:rPr>
          <w:rFonts w:ascii="仿宋_GB2312" w:eastAsia="仿宋_GB2312" w:hAnsi="Simsun" w:cs="宋体" w:hint="eastAsia"/>
          <w:color w:val="000000"/>
          <w:kern w:val="0"/>
          <w:sz w:val="32"/>
          <w:szCs w:val="32"/>
        </w:rPr>
      </w:pPr>
      <w:r w:rsidRPr="0097674D">
        <w:rPr>
          <w:rFonts w:ascii="仿宋_GB2312" w:eastAsia="仿宋_GB2312" w:hAnsi="Simsun" w:cs="宋体" w:hint="eastAsia"/>
          <w:b/>
          <w:bCs/>
          <w:color w:val="000000"/>
          <w:kern w:val="0"/>
          <w:sz w:val="32"/>
        </w:rPr>
        <w:t>第一章　总　　则</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xml:space="preserve">　　第一条　为了保证医疗器械的安全、有效，保障人体健康和生命安全，制定本条例。</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第二条　在中华人民共和国境内从事医疗器械的研制、生产、经营、使用活动及其监督管理，应当遵守本条例。</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第三条　国务院食品药品监督管理部门负责全国医疗</w:t>
      </w:r>
      <w:r w:rsidRPr="0097674D">
        <w:rPr>
          <w:rFonts w:ascii="仿宋_GB2312" w:eastAsia="仿宋_GB2312" w:hAnsi="Simsun" w:cs="宋体" w:hint="eastAsia"/>
          <w:color w:val="000000"/>
          <w:kern w:val="0"/>
          <w:sz w:val="32"/>
          <w:szCs w:val="32"/>
        </w:rPr>
        <w:lastRenderedPageBreak/>
        <w:t>器械监督管理工作。国务院有关部门在各自的职责范围内负责与医疗器械有关的监督管理工作。</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县级以上地方人民政府食品药品监督管理部门负责本行政区域的医疗器械监督管理工作。县级以上地方人民政府有关部门在各自的职责范围内负责与医疗器械有关的监督管理工作。</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国务院食品药品监督管理部门应当配合国务院有关部门，贯彻实施国家医疗器械产业规划和政策。</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第四条　国家对医疗器械按照风险程度实行分类管理。</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第一类是风险程度低，实行常规管理可以保证其安全、有效的医疗器械。</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第二类是具有中度风险，需要严格控制管理以保证其安全、有效的医疗器械。</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第三类是具有较高风险，需要采取特别措施严格控制管理以保证其安全、有效的医疗器械。</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评价医疗器械风险程度，应当考虑医疗器械的预期目的、结构特征、使用方法等因素。</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国务院食品药品监督管理部门负责制定医疗器械的分类规则和分类目录，并根据医疗器械生产、经营、使用情况，及时对医疗器械的风险变化进行分析、评价，对分类目录进行调整。制定、调整分类目录，应当充分听取医疗器械生产经营企业以及使用单位、行业组织的意见，并参考国际医疗</w:t>
      </w:r>
      <w:r w:rsidRPr="0097674D">
        <w:rPr>
          <w:rFonts w:ascii="仿宋_GB2312" w:eastAsia="仿宋_GB2312" w:hAnsi="Simsun" w:cs="宋体" w:hint="eastAsia"/>
          <w:color w:val="000000"/>
          <w:kern w:val="0"/>
          <w:sz w:val="32"/>
          <w:szCs w:val="32"/>
        </w:rPr>
        <w:lastRenderedPageBreak/>
        <w:t>器械分类实践。医疗器械分类目录应当向社会公布。</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第五条　医疗器械的研制应当遵循安全、有效和节约的原则。国家鼓励医疗器械的研究与创新，发挥市场机制的作用，促进医疗器械新技术的推广和应用，推动医疗器械产业的发展。</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第六条　医疗器械产品应当符合医疗器械强制性国家标准；尚无强制性国家标准的，应当符合医疗器械强制性行业标准。</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次性使用的医疗器械目录由国务院食品药品监督管理部门会同国务院卫生计生主管部门制定、调整并公布。重复使用可以保证安全、有效的医疗器械，不列入一次性使用的医疗器械目录。对因设计、生产工艺、消毒灭菌技术等改进后重复使用可以保证安全、有效的医疗器械，应当调整出一次性使用的医疗器械目录。</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第七条　医疗器械行业组织应当加强行业自律，推进诚信体系建设，督促企业依法开展生产经营活动，引导企业诚实守信。</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jc w:val="center"/>
        <w:rPr>
          <w:rFonts w:ascii="仿宋_GB2312" w:eastAsia="仿宋_GB2312" w:hAnsi="Simsun" w:cs="宋体" w:hint="eastAsia"/>
          <w:color w:val="000000"/>
          <w:kern w:val="0"/>
          <w:sz w:val="32"/>
          <w:szCs w:val="32"/>
        </w:rPr>
      </w:pPr>
      <w:r w:rsidRPr="0097674D">
        <w:rPr>
          <w:rFonts w:ascii="仿宋_GB2312" w:eastAsia="仿宋_GB2312" w:hAnsi="Simsun" w:cs="宋体" w:hint="eastAsia"/>
          <w:b/>
          <w:bCs/>
          <w:color w:val="000000"/>
          <w:kern w:val="0"/>
          <w:sz w:val="32"/>
        </w:rPr>
        <w:t>第二章　医疗器械产品注册与备案</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xml:space="preserve">　　第八条　第一类医疗器械实行产品备案管理，第二类、第三类医疗器械实行产品注册管理。</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r>
      <w:r w:rsidRPr="0097674D">
        <w:rPr>
          <w:rFonts w:ascii="仿宋_GB2312" w:eastAsia="仿宋_GB2312" w:hAnsi="Simsun" w:cs="宋体" w:hint="eastAsia"/>
          <w:color w:val="000000"/>
          <w:kern w:val="0"/>
          <w:sz w:val="32"/>
          <w:szCs w:val="32"/>
        </w:rPr>
        <w:lastRenderedPageBreak/>
        <w:t xml:space="preserve">　　第九条　第一类医疗器械产品备案和申请第二类、第三类医疗器械产品注册，应当提交下列资料：</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（一）产品风险分析资料；</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（二）产品技术要求；</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（三）产品检验报告；</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（四）临床评价资料；</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（五）产品说明书及标签样稿；</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（六）与产品研制、生产有关的质量管理体系文件；</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（七）证明产品安全、有效所需的其他资料。</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医疗器械注册申请人、备案人应当对所提交资料的真实性负责。</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第十条　第一类医疗器械产品备案，由备案人向所在地设区的市级人民政府食品药品监督管理部门提交备案资料。其中，产品检验报告可以是备案人的自检报告；临床评价资料不包括临床试验报告，可以是通过文献、同类产品临床使用获得的数据证明该医疗器械安全、有效的资料。</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向我国境内出口第一类医疗器械的境外生产企业，由其在我国境内设立的代表机构或者指定我国境内的企业法人作为代理人，向国务院食品药品监督管理部门提交备案资料和备案人所在国（地区）主管部门准许该医疗器械上市销售的证明文件。</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备案资料载明的事项发生变化的，应当向原备案部门变</w:t>
      </w:r>
      <w:r w:rsidRPr="0097674D">
        <w:rPr>
          <w:rFonts w:ascii="仿宋_GB2312" w:eastAsia="仿宋_GB2312" w:hAnsi="Simsun" w:cs="宋体" w:hint="eastAsia"/>
          <w:color w:val="000000"/>
          <w:kern w:val="0"/>
          <w:sz w:val="32"/>
          <w:szCs w:val="32"/>
        </w:rPr>
        <w:lastRenderedPageBreak/>
        <w:t>更备案。</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第十一条　申请第二类医疗器械产品注册，注册申请人应当向所在地省、自治区、直辖市人民政府食品药品监督管理部门提交注册申请资料。申请第三类医疗器械产品注册，注册申请人应当向国务院食品药品监督管理部门提交注册申请资料。</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向我国境内出口第二类、第三类医疗器械的境外生产企业，应当由其在我国境内设立的代表机构或者指定我国境内的企业法人作为代理人，向国务院食品药品监督管理部门提交注册申请资料和注册申请人所在国（地区）主管部门准许该医疗器械上市销售的证明文件。</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第二类、第三类医疗器械产品注册申请资料中的产品检验报告应当是医疗器械检验机构出具的检验报告；临床评价资料应当包括临床试验报告，但依照本条例第十七条的规定免于进行临床试验的医疗器械除外。</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第十二条　受理注册申请的食品药品监督管理部门应当自受理之日起3个工作日内将注册申请资料转交技术审评机构。技术审评机构应当在完成技术审评后向食品药品监督管理部门提交审评意见。</w:t>
      </w:r>
      <w:r w:rsidRPr="0097674D">
        <w:rPr>
          <w:rFonts w:ascii="仿宋_GB2312" w:eastAsia="仿宋_GB2312" w:hAnsi="Simsun" w:cs="宋体" w:hint="eastAsia"/>
          <w:color w:val="000000"/>
          <w:kern w:val="0"/>
          <w:sz w:val="32"/>
          <w:szCs w:val="32"/>
        </w:rPr>
        <w:br/>
        <w:t xml:space="preserve">　　第十三条　受理注册申请的食品药品监督管理部门应当自收到审评意见之日起20个工作日内</w:t>
      </w:r>
      <w:proofErr w:type="gramStart"/>
      <w:r w:rsidRPr="0097674D">
        <w:rPr>
          <w:rFonts w:ascii="仿宋_GB2312" w:eastAsia="仿宋_GB2312" w:hAnsi="Simsun" w:cs="宋体" w:hint="eastAsia"/>
          <w:color w:val="000000"/>
          <w:kern w:val="0"/>
          <w:sz w:val="32"/>
          <w:szCs w:val="32"/>
        </w:rPr>
        <w:t>作出</w:t>
      </w:r>
      <w:proofErr w:type="gramEnd"/>
      <w:r w:rsidRPr="0097674D">
        <w:rPr>
          <w:rFonts w:ascii="仿宋_GB2312" w:eastAsia="仿宋_GB2312" w:hAnsi="Simsun" w:cs="宋体" w:hint="eastAsia"/>
          <w:color w:val="000000"/>
          <w:kern w:val="0"/>
          <w:sz w:val="32"/>
          <w:szCs w:val="32"/>
        </w:rPr>
        <w:t>决定。对符合安全、有效要求的，准予注册并发给医疗器械注册证；对不</w:t>
      </w:r>
      <w:r w:rsidRPr="0097674D">
        <w:rPr>
          <w:rFonts w:ascii="仿宋_GB2312" w:eastAsia="仿宋_GB2312" w:hAnsi="Simsun" w:cs="宋体" w:hint="eastAsia"/>
          <w:color w:val="000000"/>
          <w:kern w:val="0"/>
          <w:sz w:val="32"/>
          <w:szCs w:val="32"/>
        </w:rPr>
        <w:lastRenderedPageBreak/>
        <w:t>符合要求的，不予注册并书面说明理由。</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国务院食品药品监督管理部门在组织对进口医疗器械的技术审评时认为有必要对质量管理体系进行核查的，应当组织质量管理体系检查技术机构开展质量管理体系核查。</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第十四条　已注册的第二类、第三类医疗器械产品，其设计、原材料、生产工艺、适用范围、使用方法等发生实质性变化，有可能影响该医疗器械安全、有效的，注册人应当向原注册部门申请办理变更注册手续；发生非实质性变化，不影响该医疗器械安全、有效的，应当将变化情况向原注册部门备案。</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第十五条　医疗器械注册证有效期为5年。有效期届满需要延续注册的，应当在有效期届满6个月前向原注册部门提出延续注册的申请。</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除有本条第三款规定情形外，接到延续注册申请的食品药品监督管理部门应当在医疗器械注册证有效期届满前作出准予延续的决定。逾期未作决定的，视为准予延续。</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有下列情形之一的，不予延续注册：</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（一）注册人未在规定期限内提出延续注册申请的；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（二）医疗器械强制性标准已经修订，申请延续注册的医疗器械不能达到新要求的；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（三）对用于治疗罕见疾病以及应对突发公共卫生事件急需的医疗器械，未在规定期限内完成医疗器械注册证载明</w:t>
      </w:r>
      <w:r w:rsidRPr="0097674D">
        <w:rPr>
          <w:rFonts w:ascii="仿宋_GB2312" w:eastAsia="仿宋_GB2312" w:hAnsi="Simsun" w:cs="宋体" w:hint="eastAsia"/>
          <w:color w:val="000000"/>
          <w:kern w:val="0"/>
          <w:sz w:val="32"/>
          <w:szCs w:val="32"/>
        </w:rPr>
        <w:lastRenderedPageBreak/>
        <w:t>事项的。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第十六条　对新研制的尚未列入分类目录的医疗器械，申请人可以依照本条例有关第三类医疗器械产品注册的规定直接申请产品注册，也可以依据分类规则判断产品类别并向国务院食品药品监督管理部门申请类别确认后依照本条例的规定申请注册或者进行产品备案。</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直接申请第三类医疗器械产品注册的，国务院食品药品监督管理部门应当按照风险程度确定类别，对准予注册的医疗器械及时纳入分类目录。申请类别确认的，国务院食品药品监督管理部门应当自受理申请之日起20个工作日内对该医疗器械的类别进行判定并告知申请人。</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第十七条　第一类医疗器械产品备案，不需要进行临床试验。申请第二类、第三类医疗器械产品注册，应当进行临床试验；但是，有下列情形之一的，可以免于进行临床试验：</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（一）工作机理明确、设计定型，生产工艺成熟，已上市的同品种医疗器械临床应用多年且无严重不良事件记录，不改变常规用途的；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（二）通过非临床评价能够证明该医疗器械安全、有效的；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（三）通过对同品种医疗器械临床试验或者临床使用获得的数据进行分析评价，能够证明该医疗器械安全、有效的。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免于进行临床试验的医疗器械目录由国务院食品药品</w:t>
      </w:r>
      <w:r w:rsidRPr="0097674D">
        <w:rPr>
          <w:rFonts w:ascii="仿宋_GB2312" w:eastAsia="仿宋_GB2312" w:hAnsi="Simsun" w:cs="宋体" w:hint="eastAsia"/>
          <w:color w:val="000000"/>
          <w:kern w:val="0"/>
          <w:sz w:val="32"/>
          <w:szCs w:val="32"/>
        </w:rPr>
        <w:lastRenderedPageBreak/>
        <w:t>监督管理部门制定、调整并公布。</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第十八条　开展医疗器械临床试验，应当按照医疗器械临床试验质量管理规范的要求，在有资质的临床试验机构进行，并向临床试验提出者所在地省、自治区、直辖市人民政府食品药品监督管理部门备案。接受临床试验备案的食品药品监督管理部门应当将备案情况通报临床试验机构所在地的同级食品药品监督管理部门和卫生计生主管部门。</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临床试验机构资质认定条件和临床试验质量管理规范，由国务院食品药品监督管理部门会同国务院卫生计生主管部门制定并公布；医疗器械临床试验机构由国务院食品药品监督管理部门会同国务院卫生计生主管部门认定并公布。</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第十九条　第三类医疗器械进行临床试验对人体具有较高风险的，应当经国务院食品药品监督管理部门批准。临床试验对人体具有较高风险的第三类医疗器械目录由国务院食品药品监督管理部门制定、调整并公布。</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国务院食品药品监督管理部门审批临床试验，应当对拟承担医疗器械临床试验的机构的设备、专业人员等条件，该医疗器械的风险程度，临床试验实施方案，临床受益与风险对比分析报告等进行综合分析。准予开展临床试验的，应当通报临床试验提出者以及临床试验机构所在地省、自治区、</w:t>
      </w:r>
      <w:r w:rsidRPr="0097674D">
        <w:rPr>
          <w:rFonts w:ascii="仿宋_GB2312" w:eastAsia="仿宋_GB2312" w:hAnsi="Simsun" w:cs="宋体" w:hint="eastAsia"/>
          <w:color w:val="000000"/>
          <w:kern w:val="0"/>
          <w:sz w:val="32"/>
          <w:szCs w:val="32"/>
        </w:rPr>
        <w:lastRenderedPageBreak/>
        <w:t>直辖市人民政府食品药品监督管理部门和卫生计生主管部门。</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jc w:val="center"/>
        <w:rPr>
          <w:rFonts w:ascii="仿宋_GB2312" w:eastAsia="仿宋_GB2312" w:hAnsi="Simsun" w:cs="宋体" w:hint="eastAsia"/>
          <w:color w:val="000000"/>
          <w:kern w:val="0"/>
          <w:sz w:val="32"/>
          <w:szCs w:val="32"/>
        </w:rPr>
      </w:pPr>
      <w:r w:rsidRPr="0097674D">
        <w:rPr>
          <w:rFonts w:ascii="仿宋_GB2312" w:eastAsia="仿宋_GB2312" w:hAnsi="Simsun" w:cs="宋体" w:hint="eastAsia"/>
          <w:b/>
          <w:bCs/>
          <w:color w:val="000000"/>
          <w:kern w:val="0"/>
          <w:sz w:val="32"/>
        </w:rPr>
        <w:t>第三章　医疗器械生产</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xml:space="preserve">　　第二十条　从事医疗器械生产活动，应当具备下列条件：</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（一）有与生产的医疗器械相适应的生产场地、环境条件、生产设备以及专业技术人员；</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（二）有对生产的医疗器械进行质量检验的机构或者专职检验人员以及检验设备；</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（三）有保证医疗器械质量的管理制度；</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（四）有与生产的医疗器械相适应的售后服务能力；</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（五）产品研制、生产工艺文件规定的要求。</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第二十一条　从事第一类医疗器械生产的，由生产企业向所在地设区的市级人民政府食品药品监督管理部门备案并提交其符合本条例第二十条规定条件的证明资料。</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第二十二条　从事第二类、第三类医疗器械生产的，生产企业应当向所在地省、自治区、直辖市人民政府食品药品监督管理部门申请生产许可并提交其符合本条例第二十条规定条件的证明资料以及所生产医疗器械的注册证。</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受理生产许可申请的食品药品监督管理部门应当自受</w:t>
      </w:r>
      <w:r w:rsidRPr="0097674D">
        <w:rPr>
          <w:rFonts w:ascii="仿宋_GB2312" w:eastAsia="仿宋_GB2312" w:hAnsi="Simsun" w:cs="宋体" w:hint="eastAsia"/>
          <w:color w:val="000000"/>
          <w:kern w:val="0"/>
          <w:sz w:val="32"/>
          <w:szCs w:val="32"/>
        </w:rPr>
        <w:lastRenderedPageBreak/>
        <w:t>理之日起30个工作日内对申请资料进行审核，按照国务院食品药品监督管理部门制定的医疗器械生产质量管理规范的要求进行核查。对符合规定条件的，准予许可并发给医疗器械生产许可证；对不符合规定条件的，不予许可并书面说明理由。</w:t>
      </w:r>
      <w:r w:rsidRPr="0097674D">
        <w:rPr>
          <w:rFonts w:ascii="仿宋_GB2312" w:eastAsia="仿宋_GB2312" w:hAnsi="Simsun" w:cs="宋体" w:hint="eastAsia"/>
          <w:color w:val="000000"/>
          <w:kern w:val="0"/>
          <w:sz w:val="32"/>
          <w:szCs w:val="32"/>
        </w:rPr>
        <w:br/>
        <w:t xml:space="preserve">　　医疗器械生产许可证有效期为5年。有效期届满需要延续的，依照有关行政许可的法律规定办理延续手续。</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第二十三条　医疗器械生产质量管理规范应当对医疗器械的设计开发、生产设备条件、原材料采购、生产过程控制、企业的机构设置和人员配备等影响医疗器械安全、有效的事项</w:t>
      </w:r>
      <w:proofErr w:type="gramStart"/>
      <w:r w:rsidRPr="0097674D">
        <w:rPr>
          <w:rFonts w:ascii="仿宋_GB2312" w:eastAsia="仿宋_GB2312" w:hAnsi="Simsun" w:cs="宋体" w:hint="eastAsia"/>
          <w:color w:val="000000"/>
          <w:kern w:val="0"/>
          <w:sz w:val="32"/>
          <w:szCs w:val="32"/>
        </w:rPr>
        <w:t>作出</w:t>
      </w:r>
      <w:proofErr w:type="gramEnd"/>
      <w:r w:rsidRPr="0097674D">
        <w:rPr>
          <w:rFonts w:ascii="仿宋_GB2312" w:eastAsia="仿宋_GB2312" w:hAnsi="Simsun" w:cs="宋体" w:hint="eastAsia"/>
          <w:color w:val="000000"/>
          <w:kern w:val="0"/>
          <w:sz w:val="32"/>
          <w:szCs w:val="32"/>
        </w:rPr>
        <w:t>明确规定。</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第二十四条　医疗器械生产企业应当按照医疗器械生产质量管理规范的要求，建立健全与所生产医疗器械相适应的质量管理体系并保证其有效运行；严格按照经注册或者备案的产品技术要求组织生产，保证出厂的医疗器械符合强制性标准以及经注册或者备案的产品技术要求。</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医疗器械生产企业应当定期对质量管理体系的运行情况进行自查，并向所在地省、自治区、直辖市人民政府食品药品监督管理部门提交自查报告。</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第二十五条　医疗器械生产企业的生产条件发生变化，不再符合医疗器械质量管理体系要求的，医疗器械生产企业应当立即采取整改措施；可能影响医疗器械安全、有效的，</w:t>
      </w:r>
      <w:r w:rsidRPr="0097674D">
        <w:rPr>
          <w:rFonts w:ascii="仿宋_GB2312" w:eastAsia="仿宋_GB2312" w:hAnsi="Simsun" w:cs="宋体" w:hint="eastAsia"/>
          <w:color w:val="000000"/>
          <w:kern w:val="0"/>
          <w:sz w:val="32"/>
          <w:szCs w:val="32"/>
        </w:rPr>
        <w:lastRenderedPageBreak/>
        <w:t>应当立即停止生产活动，并向所在地县级人民政府食品药品监督管理部门报告。</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第二十六条　医疗器械应当使用通用名称。通用名称应当符合国务院食品药品监督管理部门制定的医疗器械命名规则。</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第二十七条　医疗器械应当有说明书、标签。说明书、标签的内容应当与经注册或者备案的相关内容一致。</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医疗器械的说明书、标签应当标明下列事项：</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（一）通用名称、型号、规格；</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（二）生产企业的名称和住所、生产地址及联系方式；</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（三）产品技术要求的编号；</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（四）生产日期和使用期限或者失效日期；</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（五）产品性能、主要结构、适用范围；</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（六）禁忌症、注意事项以及其他需要警示或者提示的内容；</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（七）安装和使用说明或者图示；</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（八）维护和保养方法，特殊储存条件、方法；</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（九）产品技术要求规定应当标明的其他内容。</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第二类、第三类医疗器械还应当标明医疗器械注册证编号和医疗器械注册人的名称、地址及联系方式。</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由消费者个人自行使用的医疗器械还应当具有安全使用的特别说明。</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r>
      <w:r w:rsidRPr="0097674D">
        <w:rPr>
          <w:rFonts w:ascii="仿宋_GB2312" w:eastAsia="仿宋_GB2312" w:hAnsi="Simsun" w:cs="宋体" w:hint="eastAsia"/>
          <w:color w:val="000000"/>
          <w:kern w:val="0"/>
          <w:sz w:val="32"/>
          <w:szCs w:val="32"/>
        </w:rPr>
        <w:lastRenderedPageBreak/>
        <w:t xml:space="preserve">　　第二十八条　委托生产医疗器械，由委托方对所委托生产的医疗器械质量负责。受托方应当是符合本条例规定、具备相应生产条件的医疗器械生产企业。委托方应当加强对受托方生产行为的管理，保证其按照法定要求进行生产。</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具有高风险的植入性医疗器械不得委托生产，具体目录由国务院食品药品监督管理部门制定、调整并公布。</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jc w:val="center"/>
        <w:rPr>
          <w:rFonts w:ascii="仿宋_GB2312" w:eastAsia="仿宋_GB2312" w:hAnsi="Simsun" w:cs="宋体" w:hint="eastAsia"/>
          <w:color w:val="000000"/>
          <w:kern w:val="0"/>
          <w:sz w:val="32"/>
          <w:szCs w:val="32"/>
        </w:rPr>
      </w:pPr>
      <w:r w:rsidRPr="0097674D">
        <w:rPr>
          <w:rFonts w:ascii="仿宋_GB2312" w:eastAsia="仿宋_GB2312" w:hAnsi="Simsun" w:cs="宋体" w:hint="eastAsia"/>
          <w:b/>
          <w:bCs/>
          <w:color w:val="000000"/>
          <w:kern w:val="0"/>
          <w:sz w:val="32"/>
        </w:rPr>
        <w:t>第四章　医疗器械经营与使用</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xml:space="preserve">　　第二十九条　从事医疗器械经营活动，应当有与经营规模和经营范围相适应的经营场所和贮存条件，以及与经营的医疗器械相适应的质量管理制度和质量管理机构或者人员。</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第三十条　从事第二类医疗器械经营的，由经营企业向所在地设区的市级人民政府食品药品监督管理部门备案并提交其符合本条例第二十九条规定条件的证明资料。</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第三十一条　从事第三类医疗器械经营的，经营企业应当向所在地设区的市级人民政府食品药品监督管理部门申请经营许可并提交其符合本条例第二十九条规定条件的证明资料。</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受理经营许可申请的食品药品监督管理部门应当自受理之日起30个工作日内进行审查，必要时组织核查。对符合规定条件的，准予许可并发给医疗器械经营许可证；对不</w:t>
      </w:r>
      <w:r w:rsidRPr="0097674D">
        <w:rPr>
          <w:rFonts w:ascii="仿宋_GB2312" w:eastAsia="仿宋_GB2312" w:hAnsi="Simsun" w:cs="宋体" w:hint="eastAsia"/>
          <w:color w:val="000000"/>
          <w:kern w:val="0"/>
          <w:sz w:val="32"/>
          <w:szCs w:val="32"/>
        </w:rPr>
        <w:lastRenderedPageBreak/>
        <w:t>符合规定条件的，不予许可并书面说明理由。</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医疗器械经营许可证有效期为5年。有效期届满需要延续的，依照有关行政许可的法律规定办理延续手续。</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第三十二条　医疗器械经营企业、使用单位购进医疗器械，应当查验供货者的资质和医疗器械的合格证明文件，建立进货查验记录制度。从事第二类、第三类医疗器械批发业务以及第三类医疗器械零售业务的经营企业，还应当建立销售记录制度。</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记录事项包括：</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（一）医疗器械的名称、型号、规格、数量；</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（二）医疗器械的生产批号、有效期、销售日期；</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（三）生产企业的名称；</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（四）供货者或者购货者的名称、地址及联系方式；</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（五）相关许可证明文件编号等。</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进货查验记录和销售记录应当真实，并按照国务院食品药品监督管理部门规定的期限予以保存。国家鼓励采用先进技术手段进行记录。</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第三十三条　运输、贮存医疗器械，应当符合医疗器械说明书和标签标示的要求；对温度、湿度等环境条件有特殊要求的，应当采取相应措施，保证医疗器械的安全、有效。</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第三十四条　医疗器械使用单位应当有与在用医疗器械品种、数量相适应的贮存场所和条件。</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r>
      <w:r w:rsidRPr="0097674D">
        <w:rPr>
          <w:rFonts w:ascii="仿宋_GB2312" w:eastAsia="仿宋_GB2312" w:hAnsi="Simsun" w:cs="宋体" w:hint="eastAsia"/>
          <w:color w:val="000000"/>
          <w:kern w:val="0"/>
          <w:sz w:val="32"/>
          <w:szCs w:val="32"/>
        </w:rPr>
        <w:lastRenderedPageBreak/>
        <w:t xml:space="preserve">　　医疗器械使用单位应当加强对工作人员的技术培训，按照产品说明书、技术操作规范等要求使用医疗器械。</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第三十五条　医疗器械使用单位对重复使用的医疗器械，应当按照国务院卫生计生主管部门制定的消毒和管理的规定进行处理。</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一次性使用的医疗器械不得重复使用，对使用过的应当按照国家有关规定销毁并记录。</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第三十六条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第三十七条　医疗器械使用单位应当妥善保存购入第三类医疗器械的原始资料，并确保信息具有可追溯性。</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使用大型医疗器械以及植入和介入类医疗器械的，应当将医疗器械的名称、关键性技术参数等信息以及与使用质量安全密切相关的必要信息记载到病历等相关记录中。</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第三十八条　发现使用的医疗器械存在安全隐患的，医疗器械使用单位应当立即停止使用，并通知生产企业或者其他负责产品质量的机构进行检修；经</w:t>
      </w:r>
      <w:proofErr w:type="gramStart"/>
      <w:r w:rsidRPr="0097674D">
        <w:rPr>
          <w:rFonts w:ascii="仿宋_GB2312" w:eastAsia="仿宋_GB2312" w:hAnsi="Simsun" w:cs="宋体" w:hint="eastAsia"/>
          <w:color w:val="000000"/>
          <w:kern w:val="0"/>
          <w:sz w:val="32"/>
          <w:szCs w:val="32"/>
        </w:rPr>
        <w:t>检修仍</w:t>
      </w:r>
      <w:proofErr w:type="gramEnd"/>
      <w:r w:rsidRPr="0097674D">
        <w:rPr>
          <w:rFonts w:ascii="仿宋_GB2312" w:eastAsia="仿宋_GB2312" w:hAnsi="Simsun" w:cs="宋体" w:hint="eastAsia"/>
          <w:color w:val="000000"/>
          <w:kern w:val="0"/>
          <w:sz w:val="32"/>
          <w:szCs w:val="32"/>
        </w:rPr>
        <w:t>不能达到使用安</w:t>
      </w:r>
      <w:r w:rsidRPr="0097674D">
        <w:rPr>
          <w:rFonts w:ascii="仿宋_GB2312" w:eastAsia="仿宋_GB2312" w:hAnsi="Simsun" w:cs="宋体" w:hint="eastAsia"/>
          <w:color w:val="000000"/>
          <w:kern w:val="0"/>
          <w:sz w:val="32"/>
          <w:szCs w:val="32"/>
        </w:rPr>
        <w:lastRenderedPageBreak/>
        <w:t>全标准的医疗器械，不得继续使用。</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第三十九条　食品药品监督管理部门和卫生计生主管部门依据各自职责，分别对使用环节的医疗器械质量和医疗器械使用行为进行监督管理。</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第四十条　医疗器械经营企业、使用单位不得经营、使用未依法注册、无合格证明文件以及过期、失效、淘汰的医疗器械。</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第四十一条　医疗器械使用单位之间转让在用医疗器械，转让方应当确保所转让的医疗器械安全、有效，不得转让过期、失效、淘汰以及检验不合格的医疗器械。</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第四十二条　进口的医疗器械应当是依照本条例第二章的规定已注册或者已备案的医疗器械。</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进口的医疗器械应当有中文说明书、中文标签。说明书、标签应当符合本条例规定以及相关强制性标准的要求，并在说明书中载明医疗器械的原产地以及代理人的名称、地址、联系方式。没有中文说明书、中文标签或者说明书、标签不符合本条规定的，不得进口。</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第四十三条　出入境检验检疫机构依法对进口的医疗器械实施检验；检验不合格的，不得进口。</w:t>
      </w:r>
      <w:r w:rsidRPr="0097674D">
        <w:rPr>
          <w:rFonts w:ascii="仿宋_GB2312" w:eastAsia="仿宋_GB2312" w:hAnsi="Simsun" w:cs="宋体" w:hint="eastAsia"/>
          <w:color w:val="000000"/>
          <w:kern w:val="0"/>
          <w:sz w:val="32"/>
          <w:szCs w:val="32"/>
        </w:rPr>
        <w:br/>
        <w:t xml:space="preserve">　　国务院食品药品监督管理部门应当及时向国家出入境检验检疫部门通报进口医疗器械的注册和备案情况。进口口岸所在地出入境检验检疫机构应当及时向所在地设区的市</w:t>
      </w:r>
      <w:r w:rsidRPr="0097674D">
        <w:rPr>
          <w:rFonts w:ascii="仿宋_GB2312" w:eastAsia="仿宋_GB2312" w:hAnsi="Simsun" w:cs="宋体" w:hint="eastAsia"/>
          <w:color w:val="000000"/>
          <w:kern w:val="0"/>
          <w:sz w:val="32"/>
          <w:szCs w:val="32"/>
        </w:rPr>
        <w:lastRenderedPageBreak/>
        <w:t>级人民政府食品药品监督管理部门通报进口医疗器械的通关情况。</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第四十四条　出口医疗器械的企业应当保证其出口的医疗器械符合进口国（地区）的要求。</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第四十五条　医疗器械广告应当真实合法，不得含有虚假、夸大、误导性的内容。</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广告应当经医疗器械生产企业或者进口医疗器械代理人所在地省、自治区、直辖市人民政府食品药品监督管理部门审查批准，并取得医疗器械广告批准文件。广告发布者发布医疗器械广告，应当事先核查广告的批准文件及其真实性；不得发布未取得批准文件、批准文件的真实性未经核实或者广告内容与批准文件不一致的医疗器械广告。省、自治区、直辖市人民政府食品药品监督管理部门应当公布并及时更新已经批准的医疗器械广告目录以及批准的广告内容。</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省级以上人民政府食品药品监督管理部门责令暂停生产、销售、进口和使用的医疗器械，在暂停期间不得发布涉及该医疗器械的广告。</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医疗器械广告的审查办法由国务院食品药品监督管理部门会同国务院工商行政管理部门制定。</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jc w:val="center"/>
        <w:rPr>
          <w:rFonts w:ascii="仿宋_GB2312" w:eastAsia="仿宋_GB2312" w:hAnsi="Simsun" w:cs="宋体" w:hint="eastAsia"/>
          <w:color w:val="000000"/>
          <w:kern w:val="0"/>
          <w:sz w:val="32"/>
          <w:szCs w:val="32"/>
        </w:rPr>
      </w:pPr>
      <w:r w:rsidRPr="0097674D">
        <w:rPr>
          <w:rFonts w:ascii="仿宋_GB2312" w:eastAsia="仿宋_GB2312" w:hAnsi="Simsun" w:cs="宋体" w:hint="eastAsia"/>
          <w:b/>
          <w:bCs/>
          <w:color w:val="000000"/>
          <w:kern w:val="0"/>
          <w:sz w:val="32"/>
        </w:rPr>
        <w:t>第五章　不良事件的处理与医疗器械的召回</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lastRenderedPageBreak/>
        <w:t> </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xml:space="preserve">　　第四十六条　国家建立医疗器械不良事件监测制度，对医疗器械不良事件及时进行收集、分析、评价、控制。</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第四十七条　医疗器械生产经营企业、使用单位应当对所生产经营或者使用的医疗器械开展不良事件监测；发现医疗器械不良事件或者可疑不良事件，应当按照国务院食品药品监督管理部门的规定，向医疗器械不良事件监测技术机构报告。</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任何单位和个人发现医疗器械不良事件或者可疑不良事件，有权向食品药品监督管理部门或者医疗器械不良事件监测技术机构报告。</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第四十八条　国务院食品药品监督管理部门应当加强医疗器械不良事件监测信息网络建设。</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不良事件监测技术机构应当加强医疗器械不良事件信息监测，主动收集不良事件信息；发现不良事件或者接到不良事件报告的，应当及时进行核实、调查、分析，对不良事件进行评估，并向食品药品监督管理部门和卫生计生主管部门提出处理建议。</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医疗器械不良事件监测技术机构应当公布联系方式，方便医疗器械生产经营企业、使用单位等报告医疗器械不良事件。</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第四十九条　食品药品监督管理部门应当根据医疗器</w:t>
      </w:r>
      <w:r w:rsidRPr="0097674D">
        <w:rPr>
          <w:rFonts w:ascii="仿宋_GB2312" w:eastAsia="仿宋_GB2312" w:hAnsi="Simsun" w:cs="宋体" w:hint="eastAsia"/>
          <w:color w:val="000000"/>
          <w:kern w:val="0"/>
          <w:sz w:val="32"/>
          <w:szCs w:val="32"/>
        </w:rPr>
        <w:lastRenderedPageBreak/>
        <w:t>械不良事件评估结果及时采取发布警示信息以及责令暂停生产、销售、进口和使用等控制措施。</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省级以上人民政府食品药品监督管理部门应当会同同级卫生计生主管部门和相关部门组织对引起突发、群发的严重伤害或者死亡的医疗器械不良事件及时进行调查和处理，并组织对同类医疗器械加强监测。</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第五十条　医疗器械生产经营企业、使用单位应当对医疗器械不良事件监测技术机构、食品药品监督管理部门开展的医疗器械不良事件调查予以配合。</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第五十一条　有下列情形之一的，省级以上人民政府食品药品监督管理部门应当对已注册的医疗器械组织开展再评价：</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（一）根据科学研究的发展，对医疗器械的安全、有效有认识上的改变的；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（二）医疗器械不良事件监测、评估结果表明医疗器械可能存在缺陷的；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（三）国务院食品药品监督管理部门规定的其他需要进行再评价的情形。</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再评价结果表明已注册的医疗器械不能保证安全、有效的，由原发证部门注销医疗器械注册证，并向社会公布。被注销医疗器械注册证的医疗器械不得生产、进口、经营、使用。</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r>
      <w:r w:rsidRPr="0097674D">
        <w:rPr>
          <w:rFonts w:ascii="仿宋_GB2312" w:eastAsia="仿宋_GB2312" w:hAnsi="Simsun" w:cs="宋体" w:hint="eastAsia"/>
          <w:color w:val="000000"/>
          <w:kern w:val="0"/>
          <w:sz w:val="32"/>
          <w:szCs w:val="32"/>
        </w:rPr>
        <w:lastRenderedPageBreak/>
        <w:t xml:space="preserve">　　第五十二条　医疗器械生产企业发现其生产的医疗器械不符合强制性标准、经注册或者备案的产品技术要求或者存在其他缺陷的，应当立即停止生产，通知相关生产经营企业、使用单位和消费者停止经营和使用，召回已经上市销售的医疗器械，采取补救、销毁等措施，记录相关情况，发布相关信息，并将医疗器械召回和处理情况向食品药品监督管理部门和卫生计生主管部门报告。</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经营企业发现其经营的医疗器械存在前款规定情形的，应当立即停止经营，通知相关生产经营企业、使用单位、消费者，并记录停止经营和通知情况。医疗器械生产企业认为属于依照前款规定需要召回的医疗器械，应当立即召回。</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医疗器械生产经营企业未依照本条规定实施召回或者停止经营的，食品药品监督管理部门可以责令其召回或者停止经营。</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jc w:val="center"/>
        <w:rPr>
          <w:rFonts w:ascii="仿宋_GB2312" w:eastAsia="仿宋_GB2312" w:hAnsi="Simsun" w:cs="宋体" w:hint="eastAsia"/>
          <w:color w:val="000000"/>
          <w:kern w:val="0"/>
          <w:sz w:val="32"/>
          <w:szCs w:val="32"/>
        </w:rPr>
      </w:pPr>
      <w:r w:rsidRPr="0097674D">
        <w:rPr>
          <w:rFonts w:ascii="仿宋_GB2312" w:eastAsia="仿宋_GB2312" w:hAnsi="Simsun" w:cs="宋体" w:hint="eastAsia"/>
          <w:b/>
          <w:bCs/>
          <w:color w:val="000000"/>
          <w:kern w:val="0"/>
          <w:sz w:val="32"/>
        </w:rPr>
        <w:t>第六章　监督检查</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xml:space="preserve">　　第五十三条　食品药品监督管理部门应当对医疗器械的注册、备案、生产、经营、使用活动加强监督检查，并对下列事项进行重点监督检查：</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（一）医疗器械生产企业是否按照经注册或者备案的产</w:t>
      </w:r>
      <w:r w:rsidRPr="0097674D">
        <w:rPr>
          <w:rFonts w:ascii="仿宋_GB2312" w:eastAsia="仿宋_GB2312" w:hAnsi="Simsun" w:cs="宋体" w:hint="eastAsia"/>
          <w:color w:val="000000"/>
          <w:kern w:val="0"/>
          <w:sz w:val="32"/>
          <w:szCs w:val="32"/>
        </w:rPr>
        <w:lastRenderedPageBreak/>
        <w:t>品技术要求组织生产；</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（二）医疗器械生产企业的质量管理体系是否保持有效运行；</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（三）医疗器械生产经营企业的生产经营条件是否持续符合法定要求。</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第五十四条　食品药品监督管理部门在监督检查中有下列职权：</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（一）进入现场实施检查、抽取样品；</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（二）查阅、复制、查封、扣押有关合同、票据、账簿以及其他有关资料；</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（三）查封、扣押不符合法定要求的医疗器械，违法使用的零配件、原材料以及用于违法生产医疗器械的工具、设备；</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（四）查封违反本条例规定从事医疗器械生产经营活动的场所。</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食品药品监督管理部门进行监督检查,应当出示执法证件，保守被检查单位的商业秘密。</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有关单位和个人应当对食品药品监督管理部门的监督检查予以配合，不得隐瞒有关情况。</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第五十五条　对人体造成伤害或者有证据证明可能危害人体健康的医疗器械，食品药品监督管理部门可以采取暂停生产、进口、经营、使用的紧急控制措施。</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r>
      <w:r w:rsidRPr="0097674D">
        <w:rPr>
          <w:rFonts w:ascii="仿宋_GB2312" w:eastAsia="仿宋_GB2312" w:hAnsi="Simsun" w:cs="宋体" w:hint="eastAsia"/>
          <w:color w:val="000000"/>
          <w:kern w:val="0"/>
          <w:sz w:val="32"/>
          <w:szCs w:val="32"/>
        </w:rPr>
        <w:lastRenderedPageBreak/>
        <w:t xml:space="preserve">　　第五十六条　食品药品监督管理部门应当加强对医疗器械生产经营企业和使用单位生产、经营、使用的医疗器械的抽查检验。抽查检验不得收取检验费和其他任何费用，所需费用纳入本级政府预算。</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省级以上人民政府食品药品监督管理部门应当根据抽查检验结论及时发布医疗器械质量公告。</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第五十七条　医疗器械检验机构资质认定工作按照国家有关规定实行统一管理。经国务院认证认可监督管理部门会同国务院食品药品监督管理部门认定的检验机构，方可对医疗器械实施检验。</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食品药品监督管理部门在执法工作中需要对医疗器械进行检验的，应当委托有资质的医疗器械检验机构进行，并支付相关费用。</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当事人对检验结论有异议的，可以自收到检验结论之日起7个工作日内选择有资质的医疗器械检验机构进行复检。承担复检工作的医疗器械检验机构应当在国务院食品药品监督管理部门规定的时间内</w:t>
      </w:r>
      <w:proofErr w:type="gramStart"/>
      <w:r w:rsidRPr="0097674D">
        <w:rPr>
          <w:rFonts w:ascii="仿宋_GB2312" w:eastAsia="仿宋_GB2312" w:hAnsi="Simsun" w:cs="宋体" w:hint="eastAsia"/>
          <w:color w:val="000000"/>
          <w:kern w:val="0"/>
          <w:sz w:val="32"/>
          <w:szCs w:val="32"/>
        </w:rPr>
        <w:t>作出</w:t>
      </w:r>
      <w:proofErr w:type="gramEnd"/>
      <w:r w:rsidRPr="0097674D">
        <w:rPr>
          <w:rFonts w:ascii="仿宋_GB2312" w:eastAsia="仿宋_GB2312" w:hAnsi="Simsun" w:cs="宋体" w:hint="eastAsia"/>
          <w:color w:val="000000"/>
          <w:kern w:val="0"/>
          <w:sz w:val="32"/>
          <w:szCs w:val="32"/>
        </w:rPr>
        <w:t>复检结论。复检结论为最终检验结论。</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第五十八条　对可能存在有害物质或者擅自改变医疗器械设计、原材料和生产工艺并存在安全隐患的医疗器械，按照医疗器械国家标准、行业标准规定的检验项目和检验方法无法检验的，医疗器械检验机构可以补充检验项目和检验</w:t>
      </w:r>
      <w:r w:rsidRPr="0097674D">
        <w:rPr>
          <w:rFonts w:ascii="仿宋_GB2312" w:eastAsia="仿宋_GB2312" w:hAnsi="Simsun" w:cs="宋体" w:hint="eastAsia"/>
          <w:color w:val="000000"/>
          <w:kern w:val="0"/>
          <w:sz w:val="32"/>
          <w:szCs w:val="32"/>
        </w:rPr>
        <w:lastRenderedPageBreak/>
        <w:t>方法进行检验；使用补充检验项目、检验方法得出的检验结论，经国务院食品药品监督管理部门批准，可以作为食品药品监督管理部门认定医疗器械质量的依据。</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第五十九条　设区的市级和县级人民政府食品药品监督管理部门应当加强对医疗器械广告的监督检查；发现未经批准、篡改经批准的广告内容的医疗器械广告，应当向所在地省、自治区、直辖市人民政府食品药品监督管理部门报告，由其向社会公告。</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工商行政管理部门应当依照有关广告管理的法律、行政法规的规定，对医疗器械广告进行监督检查，查处违法行为。食品药品监督管理部门发现医疗器械广告违法发布行为，应当提出处理建议并按照有关程序移交所在地同级工商行政管理部门。</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第六十条　国务院食品药品监督管理部门建立统一的医疗器械监督管理信息平台。食品药品监督管理部门应当通过信息平台依法及时公布医疗器械许可、备案、抽查检验、违法行为查处情况等日常监督管理信息。但是，不得泄露当事人的商业秘密。</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食品药品监督管理部门对医疗器械注册人和备案人、生产经营企业、使用单位建立信用档案，对有不良信用记录的增加监督检查频次。</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第六十一条　食品药品监督管理等部门应当公布本单</w:t>
      </w:r>
      <w:r w:rsidRPr="0097674D">
        <w:rPr>
          <w:rFonts w:ascii="仿宋_GB2312" w:eastAsia="仿宋_GB2312" w:hAnsi="Simsun" w:cs="宋体" w:hint="eastAsia"/>
          <w:color w:val="000000"/>
          <w:kern w:val="0"/>
          <w:sz w:val="32"/>
          <w:szCs w:val="32"/>
        </w:rPr>
        <w:lastRenderedPageBreak/>
        <w:t>位的联系方式，接受咨询、投诉、举报。食品药品监督管理等部门接到与医疗器械监督管理有关的咨询，应当及时答复；接到投诉、举报，应当及时核实、处理、答复。对咨询、投诉、举报情况及其答复、核实、处理情况，应当予以记录、保存。</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有关医疗器械研制、生产、经营、使用行为的举报经调查属实的，食品药品监督管理等部门对举报人应当给予奖励。</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第六十二条　国务院食品药品监督管理部门制定、调整、修改本条例规定的目录以及与医疗器械监督管理有关的规范，应当公开征求意见；采取听证会、论证会等形式，听取专家、医疗器械生产经营企业和使用单位、消费者以及相关组织等方面的意见。</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jc w:val="center"/>
        <w:rPr>
          <w:rFonts w:ascii="仿宋_GB2312" w:eastAsia="仿宋_GB2312" w:hAnsi="Simsun" w:cs="宋体" w:hint="eastAsia"/>
          <w:color w:val="000000"/>
          <w:kern w:val="0"/>
          <w:sz w:val="32"/>
          <w:szCs w:val="32"/>
        </w:rPr>
      </w:pPr>
      <w:r w:rsidRPr="0097674D">
        <w:rPr>
          <w:rFonts w:ascii="仿宋_GB2312" w:eastAsia="仿宋_GB2312" w:hAnsi="Simsun" w:cs="宋体" w:hint="eastAsia"/>
          <w:b/>
          <w:bCs/>
          <w:color w:val="000000"/>
          <w:kern w:val="0"/>
          <w:sz w:val="32"/>
        </w:rPr>
        <w:t>第七章　法律责任</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xml:space="preserve">　　第六十三条　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w:t>
      </w:r>
      <w:proofErr w:type="gramStart"/>
      <w:r w:rsidRPr="0097674D">
        <w:rPr>
          <w:rFonts w:ascii="仿宋_GB2312" w:eastAsia="仿宋_GB2312" w:hAnsi="Simsun" w:cs="宋体" w:hint="eastAsia"/>
          <w:color w:val="000000"/>
          <w:kern w:val="0"/>
          <w:sz w:val="32"/>
          <w:szCs w:val="32"/>
        </w:rPr>
        <w:t>并处货值</w:t>
      </w:r>
      <w:proofErr w:type="gramEnd"/>
      <w:r w:rsidRPr="0097674D">
        <w:rPr>
          <w:rFonts w:ascii="仿宋_GB2312" w:eastAsia="仿宋_GB2312" w:hAnsi="Simsun" w:cs="宋体" w:hint="eastAsia"/>
          <w:color w:val="000000"/>
          <w:kern w:val="0"/>
          <w:sz w:val="32"/>
          <w:szCs w:val="32"/>
        </w:rPr>
        <w:t>金额10倍以上20倍以下罚款；情节严重的，5年内不受理</w:t>
      </w:r>
      <w:r w:rsidRPr="0097674D">
        <w:rPr>
          <w:rFonts w:ascii="仿宋_GB2312" w:eastAsia="仿宋_GB2312" w:hAnsi="Simsun" w:cs="宋体" w:hint="eastAsia"/>
          <w:color w:val="000000"/>
          <w:kern w:val="0"/>
          <w:sz w:val="32"/>
          <w:szCs w:val="32"/>
        </w:rPr>
        <w:lastRenderedPageBreak/>
        <w:t>相关责任人及企业提出的医疗器械许可申请：</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（一）生产、经营未取得医疗器械注册证的第二类、第三类医疗器械的；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（二）未经许可从事第二类、第三类医疗器械生产活动的；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（三）未经许可从事第三类医疗器械经营活动的。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有前款第一项情形、情节严重的，由原发证部门吊销医疗器械生产许可证或者医疗器械经营许可证。</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第六十四条　提供虚假资料或者采取其他欺骗手段取得医疗器械注册证、医疗器械生产许可证、医疗器械经营许可证、广告批准文件等许可证件的，由原发证部门撤销已经取得的许可证件，并处5万元以上10万元以下罚款，5年内不受理相关责任人及企业提出的医疗器械许可申请。</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伪造、变造、买卖、出租、出借相关医疗器械许可证件的，由原发证部门予以收缴或者吊销，没收违法所得；违法所得不足1万元的，处1万元以上3万元以下罚款；违法所得1万元以上的，处违法所得3倍以上5倍以下罚款；构成违反治安管理行为的,由公安机关依法予以治安管理处罚。</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第六十五条　未依照本条例规定备案的，由县级以上人民政府食品药品监督管理部门责令限期改正；逾期不改正的，向社会公告未备案单位和产品名称，可以处1万元以下罚款。</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r>
      <w:r w:rsidRPr="0097674D">
        <w:rPr>
          <w:rFonts w:ascii="仿宋_GB2312" w:eastAsia="仿宋_GB2312" w:hAnsi="Simsun" w:cs="宋体" w:hint="eastAsia"/>
          <w:color w:val="000000"/>
          <w:kern w:val="0"/>
          <w:sz w:val="32"/>
          <w:szCs w:val="32"/>
        </w:rPr>
        <w:lastRenderedPageBreak/>
        <w:t xml:space="preserve">　　备案时提供虚假资料的，由县级以上人民政府食品药品监督管理部门向社会公告备案单位和产品名称；情节严重的，直接责任人员5年内不得从事医疗器械生产经营活动。</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第六十六条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w:t>
      </w:r>
      <w:proofErr w:type="gramStart"/>
      <w:r w:rsidRPr="0097674D">
        <w:rPr>
          <w:rFonts w:ascii="仿宋_GB2312" w:eastAsia="仿宋_GB2312" w:hAnsi="Simsun" w:cs="宋体" w:hint="eastAsia"/>
          <w:color w:val="000000"/>
          <w:kern w:val="0"/>
          <w:sz w:val="32"/>
          <w:szCs w:val="32"/>
        </w:rPr>
        <w:t>并处货值</w:t>
      </w:r>
      <w:proofErr w:type="gramEnd"/>
      <w:r w:rsidRPr="0097674D">
        <w:rPr>
          <w:rFonts w:ascii="仿宋_GB2312" w:eastAsia="仿宋_GB2312" w:hAnsi="Simsun" w:cs="宋体" w:hint="eastAsia"/>
          <w:color w:val="000000"/>
          <w:kern w:val="0"/>
          <w:sz w:val="32"/>
          <w:szCs w:val="32"/>
        </w:rPr>
        <w:t>金额5倍以上10倍以下罚款；情节严重的，责令停产停业，直至由原发证部门吊销医疗器械注册证、医疗器械生产许可证、医疗器械经营许可证：</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（一）生产、经营、使用不符合强制性标准或者不符合经注册或者备案的产品技术要求的医疗器械的；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（二）医疗器械生产企业未按照经注册或者备案的产品技术要求组织生产，或者未依照本条例规定建立质量管理体系并保持有效运行的；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（三）经营、使用无合格证明文件、过期、失效、淘汰的医疗器械，或者使用未依法注册的医疗器械的；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（四）食品药品监督管理部门责令其依照本条例规定实施召回或者停止经营后，仍拒不召回或者停止经营医疗器械的；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（五）委托不具备本条例规定条件的企业生产医疗器械，或者未对受托方的生产行为进行管理的。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r>
      <w:r w:rsidRPr="0097674D">
        <w:rPr>
          <w:rFonts w:ascii="仿宋_GB2312" w:eastAsia="仿宋_GB2312" w:hAnsi="Simsun" w:cs="宋体" w:hint="eastAsia"/>
          <w:color w:val="000000"/>
          <w:kern w:val="0"/>
          <w:sz w:val="32"/>
          <w:szCs w:val="32"/>
        </w:rPr>
        <w:lastRenderedPageBreak/>
        <w:t xml:space="preserve">　　第六十七条　有下列情形之一的，由县级以上人民政府食品药品监督管理部门责令改正，处1万元以上3万元以下罚款；情节严重的，责令停产停业，直至由原发证部门吊销医疗器械生产许可证、医疗器械经营许可证：</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（一）医疗器械生产企业的生产条件发生变化、不再符合医疗器械质量管理体系要求，未依照本条例规定整改、停止生产、报告的；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（二）生产、经营说明书、标签不符合本条例规定的医疗器械的；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（三）未按照医疗器械说明书和标签标示要求运输、贮存医疗器械的；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（四）转让过期、失效、淘汰或者检验不合格的在用医疗器械的。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（一）医疗器械生产企业未按照要求提交质量管理体系自查报告的；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（二）医疗器械经营企业、使用单位未依照本条例规定建立并执行医疗器械进货查验记录制度的；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r>
      <w:r w:rsidRPr="0097674D">
        <w:rPr>
          <w:rFonts w:ascii="仿宋_GB2312" w:eastAsia="仿宋_GB2312" w:hAnsi="Simsun" w:cs="宋体" w:hint="eastAsia"/>
          <w:color w:val="000000"/>
          <w:kern w:val="0"/>
          <w:sz w:val="32"/>
          <w:szCs w:val="32"/>
        </w:rPr>
        <w:lastRenderedPageBreak/>
        <w:t xml:space="preserve">　　（三）从事第二类、第三类医疗器械批发业务以及第三类医疗器械零售业务的经营企业未依照本条例规定建立并执行销售记录制度的；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（四）对重复使用的医疗器械，医疗器械使用单位未按照消毒和管理的规定进行处理的；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（五）医疗器械使用单位重复使用一次性使用的医疗器械，或者未按照规定销毁使用过的一次性使用的医疗器械的；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（六）对需要定期检查、检验、校准、保养、维护的医疗器械，医疗器械使用单位未按照产品说明书要求检查、检验、校准、保养、维护并予以记录，及时进行分析、评估，确保医疗器械处于良好状态的；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（七）医疗器械使用单位未妥善保存购入第三类医疗器械的原始资料，或者未按照规定将大型医疗器械以及植入和介入类医疗器械的信息记载到病历等相关记录中的；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（八）医疗器械使用单位发现使用的医疗器械存在安全隐患未立即停止使用、通知检修，或者继续使用经</w:t>
      </w:r>
      <w:proofErr w:type="gramStart"/>
      <w:r w:rsidRPr="0097674D">
        <w:rPr>
          <w:rFonts w:ascii="仿宋_GB2312" w:eastAsia="仿宋_GB2312" w:hAnsi="Simsun" w:cs="宋体" w:hint="eastAsia"/>
          <w:color w:val="000000"/>
          <w:kern w:val="0"/>
          <w:sz w:val="32"/>
          <w:szCs w:val="32"/>
        </w:rPr>
        <w:t>检修仍</w:t>
      </w:r>
      <w:proofErr w:type="gramEnd"/>
      <w:r w:rsidRPr="0097674D">
        <w:rPr>
          <w:rFonts w:ascii="仿宋_GB2312" w:eastAsia="仿宋_GB2312" w:hAnsi="Simsun" w:cs="宋体" w:hint="eastAsia"/>
          <w:color w:val="000000"/>
          <w:kern w:val="0"/>
          <w:sz w:val="32"/>
          <w:szCs w:val="32"/>
        </w:rPr>
        <w:t>不能达到使用安全标准的医疗器械的；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九）医疗器械生产经营企业、使用单位未依照本条例规定开展医疗器械不良事件监测，未按照要求报告不良事件，或者对医疗器械不良事件监测技术机构、食品药品监督管理部门开展的不良事件调查不予配合的。</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r>
      <w:r w:rsidRPr="0097674D">
        <w:rPr>
          <w:rFonts w:ascii="仿宋_GB2312" w:eastAsia="仿宋_GB2312" w:hAnsi="Simsun" w:cs="宋体" w:hint="eastAsia"/>
          <w:color w:val="000000"/>
          <w:kern w:val="0"/>
          <w:sz w:val="32"/>
          <w:szCs w:val="32"/>
        </w:rPr>
        <w:lastRenderedPageBreak/>
        <w:t xml:space="preserve">　　第六十九条　违反本条例规定开展医疗器械临床试验的，由县级以上人民政府食品药品监督管理部门责令改正或者立即停止临床试验，可以处5万元以下罚款；造成严重后果的，依法对直接负责的主管人员和其他直接责任人员给予降级、撤职或者开除的处分；有医疗器械临床试验机构资质的，由授予其资质的主管部门撤销医疗器械临床试验机构资质，5年内不受理其资质认定申请。</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临床试验机构出具虚假报告的，由授予其资质的主管部门撤销医疗器械临床试验机构资质，10年内不受理其资质认定申请；由县级以上人民政府食品药品监督管理部门处5万元以上10万元以下罚款；有违法所得的，没收违法所得；对直接负责的主管人员和其他直接责任人员，依法给予撤职或者开除的处分。</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第七十条　医疗器械检验机构出具虚假检验报告的，由授予其资质的主管部门撤销检验资质，10年内不受理其资质认定申请；处5万元以上10万元以下罚款；有违法所得的，没收违法所得；对直接负责的主管人员和其他直接责任人员，依法给予撤职或者开除的处分；受到开除处分的，自处分决定</w:t>
      </w:r>
      <w:proofErr w:type="gramStart"/>
      <w:r w:rsidRPr="0097674D">
        <w:rPr>
          <w:rFonts w:ascii="仿宋_GB2312" w:eastAsia="仿宋_GB2312" w:hAnsi="Simsun" w:cs="宋体" w:hint="eastAsia"/>
          <w:color w:val="000000"/>
          <w:kern w:val="0"/>
          <w:sz w:val="32"/>
          <w:szCs w:val="32"/>
        </w:rPr>
        <w:t>作出</w:t>
      </w:r>
      <w:proofErr w:type="gramEnd"/>
      <w:r w:rsidRPr="0097674D">
        <w:rPr>
          <w:rFonts w:ascii="仿宋_GB2312" w:eastAsia="仿宋_GB2312" w:hAnsi="Simsun" w:cs="宋体" w:hint="eastAsia"/>
          <w:color w:val="000000"/>
          <w:kern w:val="0"/>
          <w:sz w:val="32"/>
          <w:szCs w:val="32"/>
        </w:rPr>
        <w:t>之日起10年内不得从事医疗器械检验工作。</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第七十一条　违反本条例规定，发布未取得批准文件的医疗器械广告，未事先核实批准文件的真实性即发布医疗器械广告，或者发布广告内容与批准文件不一致的医疗器械广</w:t>
      </w:r>
      <w:r w:rsidRPr="0097674D">
        <w:rPr>
          <w:rFonts w:ascii="仿宋_GB2312" w:eastAsia="仿宋_GB2312" w:hAnsi="Simsun" w:cs="宋体" w:hint="eastAsia"/>
          <w:color w:val="000000"/>
          <w:kern w:val="0"/>
          <w:sz w:val="32"/>
          <w:szCs w:val="32"/>
        </w:rPr>
        <w:lastRenderedPageBreak/>
        <w:t>告的，由工商行政管理部门依照有关广告管理的法律、行政法规的规定给予处罚。</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篡改经批准的医疗器械广告内容的，由原发证部门撤销该医疗器械的广告批准文件，2年内不受理其广告审批申请。</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发布虚假医疗器械广告的，由省级以上人民政府食品药品监督管理部门决定暂停销售该医疗器械，并向社会公布；仍然销售该医疗器械的，由县级以上人民政府食品药品监督管理部门没收违法销售的医疗器械，并处2万元以上5万元以下罚款。</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第七十二条　医疗器械技术审评机构、医疗器械不良事件监测技术机构未依照本条例规定履行职责，致使审评、监测工作出现重大失误的，由县级以上人民政府食品药品监督管理部门责令改正，通报批评，给予警告；造成严重后果的，对直接负责的主管人员和其他直接责任人员，依法给予降级、撤职或者开除的处分。</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第七十三条　食品药品监督管理部门及其工作人员应当严格依照本条例规定的处罚种类和幅度，根据违法行为的性质和具体情节行使行政处罚权，具体办法由国务院食品药品监督管理部门制定。</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第七十四条　违反本条例规定，县级以上人民政府食品药品监督管理部门或者其他有关部门不履行医疗器械监督管理职责或者滥用职权、玩忽职守、徇私舞弊的，由监察机</w:t>
      </w:r>
      <w:r w:rsidRPr="0097674D">
        <w:rPr>
          <w:rFonts w:ascii="仿宋_GB2312" w:eastAsia="仿宋_GB2312" w:hAnsi="Simsun" w:cs="宋体" w:hint="eastAsia"/>
          <w:color w:val="000000"/>
          <w:kern w:val="0"/>
          <w:sz w:val="32"/>
          <w:szCs w:val="32"/>
        </w:rPr>
        <w:lastRenderedPageBreak/>
        <w:t>关或者任免机关对直接负责的主管人员和其他直接责任人员依法给予警告、记过或者记大过的处分；造成严重后果的，给予降级、撤职或者开除的处分。</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第七十五条　违反本条例规定，构成犯罪的，依法追究刑事责任；造成人身、财产或者其他损害的，依法承担赔偿责任。</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jc w:val="center"/>
        <w:rPr>
          <w:rFonts w:ascii="仿宋_GB2312" w:eastAsia="仿宋_GB2312" w:hAnsi="Simsun" w:cs="宋体" w:hint="eastAsia"/>
          <w:color w:val="000000"/>
          <w:kern w:val="0"/>
          <w:sz w:val="32"/>
          <w:szCs w:val="32"/>
        </w:rPr>
      </w:pPr>
      <w:r w:rsidRPr="0097674D">
        <w:rPr>
          <w:rFonts w:ascii="仿宋_GB2312" w:eastAsia="仿宋_GB2312" w:hAnsi="Simsun" w:cs="宋体" w:hint="eastAsia"/>
          <w:b/>
          <w:bCs/>
          <w:color w:val="000000"/>
          <w:kern w:val="0"/>
          <w:sz w:val="32"/>
        </w:rPr>
        <w:t>第八章　附　　则</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w:t>
      </w:r>
    </w:p>
    <w:p w:rsidR="0097674D" w:rsidRPr="0097674D" w:rsidRDefault="0097674D" w:rsidP="0097674D">
      <w:pPr>
        <w:widowControl/>
        <w:shd w:val="clear" w:color="auto" w:fill="FFFFFF"/>
        <w:rPr>
          <w:rFonts w:ascii="仿宋_GB2312" w:eastAsia="仿宋_GB2312" w:hAnsi="Simsun" w:cs="宋体" w:hint="eastAsia"/>
          <w:color w:val="000000"/>
          <w:kern w:val="0"/>
          <w:sz w:val="32"/>
          <w:szCs w:val="32"/>
        </w:rPr>
      </w:pPr>
      <w:r w:rsidRPr="0097674D">
        <w:rPr>
          <w:rFonts w:ascii="仿宋_GB2312" w:eastAsia="仿宋_GB2312" w:hAnsi="Simsun" w:cs="宋体" w:hint="eastAsia"/>
          <w:color w:val="000000"/>
          <w:kern w:val="0"/>
          <w:sz w:val="32"/>
          <w:szCs w:val="32"/>
        </w:rPr>
        <w:t xml:space="preserve">　　第七十六条　本条例下列用语的含义：</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（一）疾病的诊断、预防、监护、治疗或者缓解；</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（二）损伤的诊断、监护、治疗、缓解或者功能补偿；</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（三）生理结构或者生理过程的检验、替代、调节或者支持；</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（四）生命的支持或者维持；</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（五）妊娠控制；</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（六）通过对来自人体的样本进行检查，为医疗或者诊</w:t>
      </w:r>
      <w:r w:rsidRPr="0097674D">
        <w:rPr>
          <w:rFonts w:ascii="仿宋_GB2312" w:eastAsia="仿宋_GB2312" w:hAnsi="Simsun" w:cs="宋体" w:hint="eastAsia"/>
          <w:color w:val="000000"/>
          <w:kern w:val="0"/>
          <w:sz w:val="32"/>
          <w:szCs w:val="32"/>
        </w:rPr>
        <w:lastRenderedPageBreak/>
        <w:t>断目的提供信息。</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医疗器械使用单位，是指使用医疗器械为他人提供医疗等技术服务的机构，包括取得医疗机构执业许可证的医疗机构，取得计划生育技术服务机构执业许可证的计划生育技术服务机构，以及依法不需要取得医疗机构执业许可证的血站、单采血浆站、康复辅助器具适配机构等。</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第七十七条　医疗器械产品注册可以收取费用。具体收费项目、标准分别由国务院财政、价格主管部门按照国家有关规定制定。</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第七十八条　非营利的避孕医疗器械管理办法以及医疗卫生机构为应对突发公共卫生事件而研制的医疗器械的管理办法，由国务院食品药品监督管理部门会同国务院卫生计生主管部门制定。</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中医医疗器械的管理办法，由国务院食品药品监督管理部门会同国务院中医药管理部门依据本条例的规定制定；康复辅助器具类医疗器械的范围及其管理办法，由国务院食品药品监督管理部门会同国务院民政部门依据本条例的规定制定。</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第七十九条　军队医疗器械使用的监督管理，由军队卫生主管部门依据本条例和军队有关规定组织实施。</w:t>
      </w:r>
      <w:r w:rsidRPr="0097674D">
        <w:rPr>
          <w:rFonts w:ascii="仿宋_GB2312" w:eastAsia="仿宋_GB2312" w:hAnsi="Simsun" w:cs="宋体" w:hint="eastAsia"/>
          <w:color w:val="000000"/>
          <w:kern w:val="0"/>
          <w:sz w:val="32"/>
        </w:rPr>
        <w:t> </w:t>
      </w:r>
      <w:r w:rsidRPr="0097674D">
        <w:rPr>
          <w:rFonts w:ascii="仿宋_GB2312" w:eastAsia="仿宋_GB2312" w:hAnsi="Simsun" w:cs="宋体" w:hint="eastAsia"/>
          <w:color w:val="000000"/>
          <w:kern w:val="0"/>
          <w:sz w:val="32"/>
          <w:szCs w:val="32"/>
        </w:rPr>
        <w:br/>
        <w:t xml:space="preserve">　　第八十条　本条例自2014年6月1日起施行。</w:t>
      </w:r>
    </w:p>
    <w:p w:rsidR="009C2095" w:rsidRDefault="009C2095">
      <w:pPr>
        <w:rPr>
          <w:rFonts w:hint="eastAsia"/>
        </w:rPr>
      </w:pPr>
    </w:p>
    <w:sectPr w:rsidR="009C2095" w:rsidSect="009C20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674D"/>
    <w:rsid w:val="0097674D"/>
    <w:rsid w:val="009C20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7674D"/>
  </w:style>
  <w:style w:type="paragraph" w:styleId="a3">
    <w:name w:val="Normal (Web)"/>
    <w:basedOn w:val="a"/>
    <w:uiPriority w:val="99"/>
    <w:semiHidden/>
    <w:unhideWhenUsed/>
    <w:rsid w:val="009767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7674D"/>
    <w:rPr>
      <w:b/>
      <w:bCs/>
    </w:rPr>
  </w:style>
</w:styles>
</file>

<file path=word/webSettings.xml><?xml version="1.0" encoding="utf-8"?>
<w:webSettings xmlns:r="http://schemas.openxmlformats.org/officeDocument/2006/relationships" xmlns:w="http://schemas.openxmlformats.org/wordprocessingml/2006/main">
  <w:divs>
    <w:div w:id="106850502">
      <w:bodyDiv w:val="1"/>
      <w:marLeft w:val="0"/>
      <w:marRight w:val="0"/>
      <w:marTop w:val="0"/>
      <w:marBottom w:val="0"/>
      <w:divBdr>
        <w:top w:val="none" w:sz="0" w:space="0" w:color="auto"/>
        <w:left w:val="none" w:sz="0" w:space="0" w:color="auto"/>
        <w:bottom w:val="none" w:sz="0" w:space="0" w:color="auto"/>
        <w:right w:val="none" w:sz="0" w:space="0" w:color="auto"/>
      </w:divBdr>
      <w:divsChild>
        <w:div w:id="1044056867">
          <w:marLeft w:val="300"/>
          <w:marRight w:val="300"/>
          <w:marTop w:val="0"/>
          <w:marBottom w:val="0"/>
          <w:divBdr>
            <w:top w:val="none" w:sz="0" w:space="0" w:color="auto"/>
            <w:left w:val="none" w:sz="0" w:space="0" w:color="auto"/>
            <w:bottom w:val="none" w:sz="0" w:space="0" w:color="auto"/>
            <w:right w:val="none" w:sz="0" w:space="0" w:color="auto"/>
          </w:divBdr>
        </w:div>
        <w:div w:id="131302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2214</Words>
  <Characters>12624</Characters>
  <Application>Microsoft Office Word</Application>
  <DocSecurity>0</DocSecurity>
  <Lines>105</Lines>
  <Paragraphs>29</Paragraphs>
  <ScaleCrop>false</ScaleCrop>
  <Company>Lenovo</Company>
  <LinksUpToDate>false</LinksUpToDate>
  <CharactersWithSpaces>14809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2014-07-11T04:13:00Z</dcterms:created>
  <dcterms:modified xsi:type="dcterms:W3CDTF">2014-07-11T04:13:00Z</dcterms:modified>
</cp:coreProperties>
</file>