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54137C" w:rsidRPr="0054137C">
        <w:trPr>
          <w:tblCellSpacing w:w="0" w:type="dxa"/>
          <w:jc w:val="center"/>
        </w:trPr>
        <w:tc>
          <w:tcPr>
            <w:tcW w:w="0" w:type="auto"/>
            <w:tcMar>
              <w:top w:w="30" w:type="dxa"/>
              <w:left w:w="0" w:type="dxa"/>
              <w:bottom w:w="150" w:type="dxa"/>
              <w:right w:w="0" w:type="dxa"/>
            </w:tcMar>
            <w:vAlign w:val="center"/>
            <w:hideMark/>
          </w:tcPr>
          <w:p w:rsidR="0054137C" w:rsidRPr="0054137C" w:rsidRDefault="0054137C" w:rsidP="0054137C">
            <w:pPr>
              <w:widowControl/>
              <w:spacing w:line="360" w:lineRule="auto"/>
              <w:jc w:val="center"/>
              <w:rPr>
                <w:rFonts w:ascii="ˎ̥" w:eastAsia="宋体" w:hAnsi="ˎ̥" w:cs="Arial"/>
                <w:b/>
                <w:bCs/>
                <w:color w:val="093A96"/>
                <w:kern w:val="0"/>
                <w:sz w:val="33"/>
                <w:szCs w:val="33"/>
              </w:rPr>
            </w:pPr>
            <w:r w:rsidRPr="0054137C">
              <w:rPr>
                <w:rFonts w:ascii="ˎ̥" w:eastAsia="宋体" w:hAnsi="ˎ̥" w:cs="Arial"/>
                <w:b/>
                <w:bCs/>
                <w:color w:val="093A96"/>
                <w:kern w:val="0"/>
                <w:sz w:val="33"/>
                <w:szCs w:val="33"/>
              </w:rPr>
              <w:t>《医疗器械注册管理办法》（国家食品药品监督管理总局令第</w:t>
            </w:r>
            <w:r w:rsidRPr="0054137C">
              <w:rPr>
                <w:rFonts w:ascii="ˎ̥" w:eastAsia="宋体" w:hAnsi="ˎ̥" w:cs="Arial"/>
                <w:b/>
                <w:bCs/>
                <w:color w:val="093A96"/>
                <w:kern w:val="0"/>
                <w:sz w:val="33"/>
                <w:szCs w:val="33"/>
              </w:rPr>
              <w:t>4</w:t>
            </w:r>
            <w:r w:rsidRPr="0054137C">
              <w:rPr>
                <w:rFonts w:ascii="ˎ̥" w:eastAsia="宋体" w:hAnsi="ˎ̥" w:cs="Arial"/>
                <w:b/>
                <w:bCs/>
                <w:color w:val="093A96"/>
                <w:kern w:val="0"/>
                <w:sz w:val="33"/>
                <w:szCs w:val="33"/>
              </w:rPr>
              <w:t>号）</w:t>
            </w:r>
            <w:r w:rsidRPr="0054137C">
              <w:rPr>
                <w:rFonts w:ascii="ˎ̥" w:eastAsia="宋体" w:hAnsi="ˎ̥" w:cs="Arial"/>
                <w:b/>
                <w:bCs/>
                <w:color w:val="093A96"/>
                <w:kern w:val="0"/>
                <w:sz w:val="33"/>
                <w:szCs w:val="33"/>
              </w:rPr>
              <w:t xml:space="preserve"> </w:t>
            </w:r>
          </w:p>
        </w:tc>
      </w:tr>
      <w:tr w:rsidR="0054137C" w:rsidRPr="0054137C">
        <w:trPr>
          <w:tblCellSpacing w:w="0" w:type="dxa"/>
          <w:jc w:val="center"/>
        </w:trPr>
        <w:tc>
          <w:tcPr>
            <w:tcW w:w="0" w:type="auto"/>
            <w:tcMar>
              <w:top w:w="150" w:type="dxa"/>
              <w:left w:w="0" w:type="dxa"/>
              <w:bottom w:w="0" w:type="dxa"/>
              <w:right w:w="0" w:type="dxa"/>
            </w:tcMar>
            <w:vAlign w:val="center"/>
            <w:hideMark/>
          </w:tcPr>
          <w:p w:rsidR="0054137C" w:rsidRPr="0054137C" w:rsidRDefault="0054137C" w:rsidP="0054137C">
            <w:pPr>
              <w:widowControl/>
              <w:spacing w:line="360" w:lineRule="auto"/>
              <w:jc w:val="center"/>
              <w:rPr>
                <w:rFonts w:ascii="ˎ̥" w:eastAsia="宋体" w:hAnsi="ˎ̥" w:cs="Arial"/>
                <w:b/>
                <w:bCs/>
                <w:color w:val="093A96"/>
                <w:kern w:val="0"/>
                <w:sz w:val="33"/>
                <w:szCs w:val="33"/>
              </w:rPr>
            </w:pPr>
          </w:p>
        </w:tc>
      </w:tr>
      <w:tr w:rsidR="0054137C" w:rsidRPr="0054137C">
        <w:trPr>
          <w:tblCellSpacing w:w="0" w:type="dxa"/>
          <w:jc w:val="center"/>
        </w:trPr>
        <w:tc>
          <w:tcPr>
            <w:tcW w:w="0" w:type="auto"/>
            <w:tcMar>
              <w:top w:w="120" w:type="dxa"/>
              <w:left w:w="0" w:type="dxa"/>
              <w:bottom w:w="0" w:type="dxa"/>
              <w:right w:w="0" w:type="dxa"/>
            </w:tcMar>
            <w:vAlign w:val="center"/>
            <w:hideMark/>
          </w:tcPr>
          <w:p w:rsidR="0054137C" w:rsidRPr="0054137C" w:rsidRDefault="0054137C" w:rsidP="0054137C">
            <w:pPr>
              <w:widowControl/>
              <w:spacing w:line="360" w:lineRule="auto"/>
              <w:jc w:val="right"/>
              <w:rPr>
                <w:rFonts w:ascii="ˎ̥" w:eastAsia="宋体" w:hAnsi="ˎ̥" w:cs="Arial"/>
                <w:color w:val="919191"/>
                <w:kern w:val="0"/>
                <w:szCs w:val="21"/>
              </w:rPr>
            </w:pPr>
            <w:r w:rsidRPr="0054137C">
              <w:rPr>
                <w:rFonts w:ascii="ˎ̥" w:eastAsia="宋体" w:hAnsi="ˎ̥" w:cs="Arial"/>
                <w:color w:val="919191"/>
                <w:kern w:val="0"/>
                <w:szCs w:val="21"/>
              </w:rPr>
              <w:t>2014</w:t>
            </w:r>
            <w:r w:rsidRPr="0054137C">
              <w:rPr>
                <w:rFonts w:ascii="ˎ̥" w:eastAsia="宋体" w:hAnsi="ˎ̥" w:cs="Arial"/>
                <w:color w:val="919191"/>
                <w:kern w:val="0"/>
                <w:szCs w:val="21"/>
              </w:rPr>
              <w:t>年</w:t>
            </w:r>
            <w:r w:rsidRPr="0054137C">
              <w:rPr>
                <w:rFonts w:ascii="ˎ̥" w:eastAsia="宋体" w:hAnsi="ˎ̥" w:cs="Arial"/>
                <w:color w:val="919191"/>
                <w:kern w:val="0"/>
                <w:szCs w:val="21"/>
              </w:rPr>
              <w:t>07</w:t>
            </w:r>
            <w:r w:rsidRPr="0054137C">
              <w:rPr>
                <w:rFonts w:ascii="ˎ̥" w:eastAsia="宋体" w:hAnsi="ˎ̥" w:cs="Arial"/>
                <w:color w:val="919191"/>
                <w:kern w:val="0"/>
                <w:szCs w:val="21"/>
              </w:rPr>
              <w:t>月</w:t>
            </w:r>
            <w:r w:rsidRPr="0054137C">
              <w:rPr>
                <w:rFonts w:ascii="ˎ̥" w:eastAsia="宋体" w:hAnsi="ˎ̥" w:cs="Arial"/>
                <w:color w:val="919191"/>
                <w:kern w:val="0"/>
                <w:szCs w:val="21"/>
              </w:rPr>
              <w:t>30</w:t>
            </w:r>
            <w:r w:rsidRPr="0054137C">
              <w:rPr>
                <w:rFonts w:ascii="ˎ̥" w:eastAsia="宋体" w:hAnsi="ˎ̥" w:cs="Arial"/>
                <w:color w:val="919191"/>
                <w:kern w:val="0"/>
                <w:szCs w:val="21"/>
              </w:rPr>
              <w:t>日</w:t>
            </w:r>
            <w:r w:rsidRPr="0054137C">
              <w:rPr>
                <w:rFonts w:ascii="ˎ̥" w:eastAsia="宋体" w:hAnsi="ˎ̥" w:cs="Arial"/>
                <w:color w:val="919191"/>
                <w:kern w:val="0"/>
                <w:szCs w:val="21"/>
              </w:rPr>
              <w:t xml:space="preserve"> </w:t>
            </w:r>
            <w:r w:rsidRPr="0054137C">
              <w:rPr>
                <w:rFonts w:ascii="ˎ̥" w:eastAsia="宋体" w:hAnsi="ˎ̥" w:cs="Arial"/>
                <w:color w:val="919191"/>
                <w:kern w:val="0"/>
                <w:szCs w:val="21"/>
              </w:rPr>
              <w:t>发布</w:t>
            </w:r>
            <w:r w:rsidRPr="0054137C">
              <w:rPr>
                <w:rFonts w:ascii="ˎ̥" w:eastAsia="宋体" w:hAnsi="ˎ̥" w:cs="Arial"/>
                <w:color w:val="919191"/>
                <w:kern w:val="0"/>
                <w:szCs w:val="21"/>
              </w:rPr>
              <w:t xml:space="preserve"> </w:t>
            </w:r>
          </w:p>
        </w:tc>
      </w:tr>
      <w:tr w:rsidR="0054137C" w:rsidRPr="0054137C">
        <w:trPr>
          <w:trHeight w:val="60"/>
          <w:tblCellSpacing w:w="0" w:type="dxa"/>
          <w:jc w:val="center"/>
        </w:trPr>
        <w:tc>
          <w:tcPr>
            <w:tcW w:w="5000" w:type="pct"/>
            <w:vAlign w:val="center"/>
            <w:hideMark/>
          </w:tcPr>
          <w:p w:rsidR="0054137C" w:rsidRPr="0054137C" w:rsidRDefault="0054137C" w:rsidP="0054137C">
            <w:pPr>
              <w:widowControl/>
              <w:spacing w:line="360" w:lineRule="auto"/>
              <w:jc w:val="right"/>
              <w:rPr>
                <w:rFonts w:ascii="ˎ̥" w:eastAsia="宋体" w:hAnsi="ˎ̥" w:cs="Arial"/>
                <w:color w:val="919191"/>
                <w:kern w:val="0"/>
                <w:szCs w:val="21"/>
              </w:rPr>
            </w:pPr>
          </w:p>
        </w:tc>
      </w:tr>
      <w:tr w:rsidR="00530AA9" w:rsidRPr="0054137C" w:rsidTr="003341A1">
        <w:trPr>
          <w:tblCellSpacing w:w="0" w:type="dxa"/>
          <w:jc w:val="center"/>
        </w:trPr>
        <w:tc>
          <w:tcPr>
            <w:tcW w:w="0" w:type="auto"/>
            <w:tcMar>
              <w:top w:w="300" w:type="dxa"/>
              <w:left w:w="0" w:type="dxa"/>
              <w:bottom w:w="0" w:type="dxa"/>
              <w:right w:w="0" w:type="dxa"/>
            </w:tcMar>
            <w:hideMark/>
          </w:tcPr>
          <w:p w:rsidR="00530AA9" w:rsidRDefault="00530AA9" w:rsidP="00530AA9">
            <w:pPr>
              <w:jc w:val="center"/>
            </w:pPr>
          </w:p>
        </w:tc>
      </w:tr>
    </w:tbl>
    <w:p w:rsidR="0054137C" w:rsidRDefault="0054137C" w:rsidP="0054137C"/>
    <w:p w:rsidR="00530AA9" w:rsidRPr="00530AA9" w:rsidRDefault="00530AA9" w:rsidP="00530AA9">
      <w:pPr>
        <w:widowControl/>
        <w:wordWrap w:val="0"/>
        <w:spacing w:before="100" w:beforeAutospacing="1" w:after="100" w:afterAutospacing="1" w:line="480" w:lineRule="auto"/>
        <w:ind w:firstLine="630"/>
        <w:jc w:val="center"/>
        <w:rPr>
          <w:rFonts w:ascii="ˎ̥" w:eastAsia="宋体" w:hAnsi="ˎ̥" w:cs="Arial"/>
          <w:color w:val="000000"/>
          <w:kern w:val="0"/>
          <w:szCs w:val="21"/>
        </w:rPr>
      </w:pPr>
      <w:r>
        <w:rPr>
          <w:rStyle w:val="a3"/>
          <w:rFonts w:cs="Arial" w:hint="eastAsia"/>
          <w:color w:val="FF0000"/>
          <w:sz w:val="48"/>
          <w:szCs w:val="48"/>
        </w:rPr>
        <w:t>国家食品药品监督管理总局令</w:t>
      </w:r>
      <w:r>
        <w:rPr>
          <w:rFonts w:ascii="ˎ̥" w:hAnsi="ˎ̥" w:cs="Arial"/>
          <w:b/>
          <w:bCs/>
          <w:color w:val="FF0000"/>
          <w:sz w:val="18"/>
          <w:szCs w:val="18"/>
        </w:rPr>
        <w:br/>
      </w:r>
      <w:r>
        <w:rPr>
          <w:rFonts w:cs="Arial" w:hint="eastAsia"/>
          <w:color w:val="000000"/>
        </w:rPr>
        <w:t>第</w:t>
      </w:r>
      <w:r>
        <w:rPr>
          <w:rFonts w:cs="Arial" w:hint="eastAsia"/>
          <w:color w:val="000000"/>
        </w:rPr>
        <w:t xml:space="preserve"> 4 </w:t>
      </w:r>
      <w:r>
        <w:rPr>
          <w:rFonts w:cs="Arial" w:hint="eastAsia"/>
          <w:color w:val="000000"/>
        </w:rPr>
        <w:t>号</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《医疗器械注册管理办法》已于</w:t>
      </w:r>
      <w:r w:rsidRPr="00530AA9">
        <w:rPr>
          <w:rFonts w:ascii="ˎ̥" w:eastAsia="宋体" w:hAnsi="ˎ̥" w:cs="Arial"/>
          <w:color w:val="000000"/>
          <w:kern w:val="0"/>
          <w:szCs w:val="21"/>
        </w:rPr>
        <w:t>201</w:t>
      </w:r>
      <w:bookmarkStart w:id="0" w:name="_GoBack"/>
      <w:bookmarkEnd w:id="0"/>
      <w:r w:rsidRPr="00530AA9">
        <w:rPr>
          <w:rFonts w:ascii="ˎ̥" w:eastAsia="宋体" w:hAnsi="ˎ̥" w:cs="Arial"/>
          <w:color w:val="000000"/>
          <w:kern w:val="0"/>
          <w:szCs w:val="21"/>
        </w:rPr>
        <w:t>4</w:t>
      </w:r>
      <w:r w:rsidRPr="00530AA9">
        <w:rPr>
          <w:rFonts w:ascii="ˎ̥" w:eastAsia="宋体" w:hAnsi="ˎ̥" w:cs="Arial"/>
          <w:color w:val="000000"/>
          <w:kern w:val="0"/>
          <w:szCs w:val="21"/>
        </w:rPr>
        <w:t>年</w:t>
      </w:r>
      <w:r w:rsidRPr="00530AA9">
        <w:rPr>
          <w:rFonts w:ascii="ˎ̥" w:eastAsia="宋体" w:hAnsi="ˎ̥" w:cs="Arial"/>
          <w:color w:val="000000"/>
          <w:kern w:val="0"/>
          <w:szCs w:val="21"/>
        </w:rPr>
        <w:t>6</w:t>
      </w:r>
      <w:r w:rsidRPr="00530AA9">
        <w:rPr>
          <w:rFonts w:ascii="ˎ̥" w:eastAsia="宋体" w:hAnsi="ˎ̥" w:cs="Arial"/>
          <w:color w:val="000000"/>
          <w:kern w:val="0"/>
          <w:szCs w:val="21"/>
        </w:rPr>
        <w:t>月</w:t>
      </w:r>
      <w:r w:rsidRPr="00530AA9">
        <w:rPr>
          <w:rFonts w:ascii="ˎ̥" w:eastAsia="宋体" w:hAnsi="ˎ̥" w:cs="Arial"/>
          <w:color w:val="000000"/>
          <w:kern w:val="0"/>
          <w:szCs w:val="21"/>
        </w:rPr>
        <w:t>27</w:t>
      </w:r>
      <w:r w:rsidRPr="00530AA9">
        <w:rPr>
          <w:rFonts w:ascii="ˎ̥" w:eastAsia="宋体" w:hAnsi="ˎ̥" w:cs="Arial"/>
          <w:color w:val="000000"/>
          <w:kern w:val="0"/>
          <w:szCs w:val="21"/>
        </w:rPr>
        <w:t>日经国家食品药品监督管理总局局务会议审议通过，现予公布，自</w:t>
      </w:r>
      <w:r w:rsidRPr="00530AA9">
        <w:rPr>
          <w:rFonts w:ascii="ˎ̥" w:eastAsia="宋体" w:hAnsi="ˎ̥" w:cs="Arial"/>
          <w:color w:val="000000"/>
          <w:kern w:val="0"/>
          <w:szCs w:val="21"/>
        </w:rPr>
        <w:t>2014</w:t>
      </w:r>
      <w:r w:rsidRPr="00530AA9">
        <w:rPr>
          <w:rFonts w:ascii="ˎ̥" w:eastAsia="宋体" w:hAnsi="ˎ̥" w:cs="Arial"/>
          <w:color w:val="000000"/>
          <w:kern w:val="0"/>
          <w:szCs w:val="21"/>
        </w:rPr>
        <w:t>年</w:t>
      </w:r>
      <w:r w:rsidRPr="00530AA9">
        <w:rPr>
          <w:rFonts w:ascii="ˎ̥" w:eastAsia="宋体" w:hAnsi="ˎ̥" w:cs="Arial"/>
          <w:color w:val="000000"/>
          <w:kern w:val="0"/>
          <w:szCs w:val="21"/>
        </w:rPr>
        <w:t>10</w:t>
      </w:r>
      <w:r w:rsidRPr="00530AA9">
        <w:rPr>
          <w:rFonts w:ascii="ˎ̥" w:eastAsia="宋体" w:hAnsi="ˎ̥" w:cs="Arial"/>
          <w:color w:val="000000"/>
          <w:kern w:val="0"/>
          <w:szCs w:val="21"/>
        </w:rPr>
        <w:t>月</w:t>
      </w:r>
      <w:r w:rsidRPr="00530AA9">
        <w:rPr>
          <w:rFonts w:ascii="ˎ̥" w:eastAsia="宋体" w:hAnsi="ˎ̥" w:cs="Arial"/>
          <w:color w:val="000000"/>
          <w:kern w:val="0"/>
          <w:szCs w:val="21"/>
        </w:rPr>
        <w:t>1</w:t>
      </w:r>
      <w:r w:rsidRPr="00530AA9">
        <w:rPr>
          <w:rFonts w:ascii="ˎ̥" w:eastAsia="宋体" w:hAnsi="ˎ̥" w:cs="Arial"/>
          <w:color w:val="000000"/>
          <w:kern w:val="0"/>
          <w:szCs w:val="21"/>
        </w:rPr>
        <w:t>日起施行。</w:t>
      </w:r>
    </w:p>
    <w:p w:rsidR="00530AA9" w:rsidRDefault="00530AA9" w:rsidP="00530AA9">
      <w:pPr>
        <w:jc w:val="right"/>
        <w:rPr>
          <w:rFonts w:hint="eastAsia"/>
        </w:rPr>
      </w:pP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局　</w:t>
      </w:r>
      <w:proofErr w:type="gramStart"/>
      <w:r w:rsidRPr="00530AA9">
        <w:rPr>
          <w:rFonts w:ascii="ˎ̥" w:eastAsia="宋体" w:hAnsi="ˎ̥" w:cs="Arial"/>
          <w:color w:val="000000"/>
          <w:kern w:val="0"/>
          <w:szCs w:val="21"/>
        </w:rPr>
        <w:t xml:space="preserve">长　　</w:t>
      </w:r>
      <w:proofErr w:type="gramEnd"/>
      <w:r w:rsidRPr="00530AA9">
        <w:rPr>
          <w:rFonts w:ascii="ˎ̥" w:eastAsia="宋体" w:hAnsi="ˎ̥" w:cs="Arial"/>
          <w:color w:val="000000"/>
          <w:kern w:val="0"/>
          <w:szCs w:val="21"/>
        </w:rPr>
        <w:t>张勇</w:t>
      </w:r>
      <w:r w:rsidRPr="00530AA9">
        <w:rPr>
          <w:rFonts w:ascii="ˎ̥" w:eastAsia="宋体" w:hAnsi="ˎ̥" w:cs="Arial"/>
          <w:color w:val="000000"/>
          <w:kern w:val="0"/>
          <w:sz w:val="18"/>
          <w:szCs w:val="18"/>
        </w:rPr>
        <w:br/>
      </w:r>
      <w:proofErr w:type="gramStart"/>
      <w:r w:rsidRPr="00530AA9">
        <w:rPr>
          <w:rFonts w:ascii="ˎ̥" w:eastAsia="宋体" w:hAnsi="ˎ̥" w:cs="Arial"/>
          <w:color w:val="000000"/>
          <w:kern w:val="0"/>
          <w:szCs w:val="21"/>
        </w:rPr>
        <w:t xml:space="preserve">　　　　　　　　　　　　　　　　　　　　　　　　　　　　　　　　　　　　　　　　　</w:t>
      </w:r>
      <w:proofErr w:type="gramEnd"/>
      <w:r w:rsidRPr="00530AA9">
        <w:rPr>
          <w:rFonts w:ascii="ˎ̥" w:eastAsia="宋体" w:hAnsi="ˎ̥" w:cs="Arial"/>
          <w:color w:val="000000"/>
          <w:kern w:val="0"/>
          <w:szCs w:val="21"/>
        </w:rPr>
        <w:t xml:space="preserve"> 2014</w:t>
      </w:r>
      <w:r w:rsidRPr="00530AA9">
        <w:rPr>
          <w:rFonts w:ascii="ˎ̥" w:eastAsia="宋体" w:hAnsi="ˎ̥" w:cs="Arial"/>
          <w:color w:val="000000"/>
          <w:kern w:val="0"/>
          <w:szCs w:val="21"/>
        </w:rPr>
        <w:t>年</w:t>
      </w:r>
      <w:r w:rsidRPr="00530AA9">
        <w:rPr>
          <w:rFonts w:ascii="ˎ̥" w:eastAsia="宋体" w:hAnsi="ˎ̥" w:cs="Arial"/>
          <w:color w:val="000000"/>
          <w:kern w:val="0"/>
          <w:szCs w:val="21"/>
        </w:rPr>
        <w:t>7</w:t>
      </w:r>
      <w:r w:rsidRPr="00530AA9">
        <w:rPr>
          <w:rFonts w:ascii="ˎ̥" w:eastAsia="宋体" w:hAnsi="ˎ̥" w:cs="Arial"/>
          <w:color w:val="000000"/>
          <w:kern w:val="0"/>
          <w:szCs w:val="21"/>
        </w:rPr>
        <w:t>月</w:t>
      </w:r>
      <w:r w:rsidRPr="00530AA9">
        <w:rPr>
          <w:rFonts w:ascii="ˎ̥" w:eastAsia="宋体" w:hAnsi="ˎ̥" w:cs="Arial"/>
          <w:color w:val="000000"/>
          <w:kern w:val="0"/>
          <w:szCs w:val="21"/>
        </w:rPr>
        <w:t>30</w:t>
      </w:r>
      <w:r w:rsidRPr="00530AA9">
        <w:rPr>
          <w:rFonts w:ascii="ˎ̥" w:eastAsia="宋体" w:hAnsi="ˎ̥" w:cs="Arial"/>
          <w:color w:val="000000"/>
          <w:kern w:val="0"/>
          <w:szCs w:val="21"/>
        </w:rPr>
        <w:t>日</w:t>
      </w:r>
    </w:p>
    <w:p w:rsidR="00530AA9" w:rsidRDefault="00530AA9">
      <w:pPr>
        <w:widowControl/>
        <w:jc w:val="left"/>
        <w:rPr>
          <w:rFonts w:ascii="ˎ̥" w:eastAsia="宋体" w:hAnsi="ˎ̥" w:cs="Arial" w:hint="eastAsia"/>
          <w:b/>
          <w:bCs/>
          <w:color w:val="000000"/>
          <w:kern w:val="0"/>
          <w:szCs w:val="21"/>
        </w:rPr>
      </w:pPr>
      <w:r>
        <w:rPr>
          <w:rFonts w:ascii="ˎ̥" w:eastAsia="宋体" w:hAnsi="ˎ̥" w:cs="Arial" w:hint="eastAsia"/>
          <w:b/>
          <w:bCs/>
          <w:color w:val="000000"/>
          <w:kern w:val="0"/>
          <w:szCs w:val="21"/>
        </w:rPr>
        <w:br w:type="page"/>
      </w:r>
    </w:p>
    <w:p w:rsidR="00530AA9" w:rsidRPr="00530AA9" w:rsidRDefault="00530AA9" w:rsidP="00530AA9">
      <w:pPr>
        <w:widowControl/>
        <w:wordWrap w:val="0"/>
        <w:spacing w:before="100" w:beforeAutospacing="1" w:after="100" w:afterAutospacing="1" w:line="480" w:lineRule="auto"/>
        <w:jc w:val="center"/>
        <w:rPr>
          <w:rFonts w:ascii="ˎ̥" w:eastAsia="宋体" w:hAnsi="ˎ̥" w:cs="Arial"/>
          <w:color w:val="000000"/>
          <w:kern w:val="0"/>
          <w:szCs w:val="21"/>
        </w:rPr>
      </w:pPr>
      <w:r w:rsidRPr="00530AA9">
        <w:rPr>
          <w:rFonts w:ascii="ˎ̥" w:eastAsia="宋体" w:hAnsi="ˎ̥" w:cs="Arial"/>
          <w:b/>
          <w:bCs/>
          <w:color w:val="000000"/>
          <w:kern w:val="0"/>
          <w:szCs w:val="21"/>
        </w:rPr>
        <w:lastRenderedPageBreak/>
        <w:t>医疗器械注册管理办法</w:t>
      </w:r>
    </w:p>
    <w:p w:rsidR="00530AA9" w:rsidRPr="00530AA9" w:rsidRDefault="00530AA9" w:rsidP="00530AA9">
      <w:pPr>
        <w:widowControl/>
        <w:wordWrap w:val="0"/>
        <w:spacing w:before="100" w:beforeAutospacing="1" w:after="100" w:afterAutospacing="1" w:line="480" w:lineRule="auto"/>
        <w:jc w:val="center"/>
        <w:rPr>
          <w:rFonts w:ascii="ˎ̥" w:eastAsia="宋体" w:hAnsi="ˎ̥" w:cs="Arial"/>
          <w:b/>
          <w:color w:val="000000"/>
          <w:kern w:val="0"/>
          <w:szCs w:val="21"/>
        </w:rPr>
      </w:pPr>
      <w:r w:rsidRPr="00530AA9">
        <w:rPr>
          <w:rFonts w:ascii="ˎ̥" w:eastAsia="宋体" w:hAnsi="ˎ̥" w:cs="Arial"/>
          <w:b/>
          <w:color w:val="000000"/>
          <w:kern w:val="0"/>
          <w:szCs w:val="21"/>
        </w:rPr>
        <w:t>第一章　总　则</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第一条　为规范医疗器械的注册与备案管理，保证医疗器械的安全、有效，根据《医疗器械监督管理条例》，制定本办法。</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第二条　在中华人民共和国境内销售、使用的医疗器械</w:t>
      </w:r>
      <w:r w:rsidRPr="00530AA9">
        <w:rPr>
          <w:rFonts w:ascii="ˎ̥" w:eastAsia="宋体" w:hAnsi="ˎ̥" w:cs="Arial"/>
          <w:color w:val="000000"/>
          <w:kern w:val="0"/>
          <w:szCs w:val="21"/>
        </w:rPr>
        <w:t>,</w:t>
      </w:r>
      <w:r w:rsidRPr="00530AA9">
        <w:rPr>
          <w:rFonts w:ascii="ˎ̥" w:eastAsia="宋体" w:hAnsi="ˎ̥" w:cs="Arial"/>
          <w:color w:val="000000"/>
          <w:kern w:val="0"/>
          <w:szCs w:val="21"/>
        </w:rPr>
        <w:t>应当按照本办法的规定申请注册或者办理备案。</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第三条　医疗器械注册是食品药品监督管理部门根据医疗器械注册申请人的申请，依照法定程序，对其拟上市医疗器械的安全性、有效性研究及其结果进行系统评价，以决定是否同意其申请的过程。</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医疗器械备案是医疗器械备案人向食品药品监督管理部门提交备案资料，食品药品监督管理部门对提交的备案资料存档备查。</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第四条　医疗器械注册与备案应当遵循公开、公平、公正的原则。</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第五条　第一类医疗器械实行备案管理。第二类、第三类医疗器械实行注册管理。</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境内第一类医疗器械备案，备案人向设区的市级食品药品监督管理部门提交备案资料。</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境内第二类医疗器械由省、自治区、直辖市食品药品监督管理部门审查，批准后发给医疗器械注册证。</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境内第三类医疗器械由国家食品药品监督管理总局审查，批准后发给医疗器械注册证。</w:t>
      </w:r>
      <w:r w:rsidRPr="00530AA9">
        <w:rPr>
          <w:rFonts w:ascii="ˎ̥" w:eastAsia="宋体" w:hAnsi="ˎ̥" w:cs="Arial"/>
          <w:color w:val="000000"/>
          <w:kern w:val="0"/>
          <w:sz w:val="18"/>
          <w:szCs w:val="18"/>
        </w:rPr>
        <w:br/>
      </w:r>
      <w:r w:rsidRPr="00530AA9">
        <w:rPr>
          <w:rFonts w:ascii="ˎ̥" w:eastAsia="宋体" w:hAnsi="ˎ̥" w:cs="Arial"/>
          <w:color w:val="000000"/>
          <w:kern w:val="0"/>
          <w:szCs w:val="21"/>
        </w:rPr>
        <w:lastRenderedPageBreak/>
        <w:t xml:space="preserve">　　进口第一类医疗器械备案，备案人向国家食品药品监督管理总局提交备案资料。</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进口第二类、第三类医疗器械由国家食品药品监督管理总局审查，批准后发给医疗器械注册证。</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香港、澳门、台湾地区医疗器械的注册、备案，参照进口医疗器械办理。</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第六条　医疗器械注册人、备案人以自己名义把产品推向市场，对产品负法律责任。</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第七条　食品药品监督管理部门依法及时公布医疗器械注册、备案相关信息。申请人可以查询审批进度和结果，公众可以查阅审批结果。</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第八条　国家鼓励医疗器械的研究与创新，对创新医疗器械实行特别审批，促进医疗器械新技术的推广与应用，推动医疗器械产业的发展。</w:t>
      </w:r>
    </w:p>
    <w:p w:rsidR="00530AA9" w:rsidRPr="00530AA9" w:rsidRDefault="00530AA9" w:rsidP="00530AA9">
      <w:pPr>
        <w:widowControl/>
        <w:wordWrap w:val="0"/>
        <w:spacing w:before="100" w:beforeAutospacing="1" w:after="100" w:afterAutospacing="1" w:line="480" w:lineRule="auto"/>
        <w:jc w:val="center"/>
        <w:rPr>
          <w:rFonts w:ascii="ˎ̥" w:eastAsia="宋体" w:hAnsi="ˎ̥" w:cs="Arial"/>
          <w:b/>
          <w:color w:val="000000"/>
          <w:kern w:val="0"/>
          <w:szCs w:val="21"/>
        </w:rPr>
      </w:pPr>
      <w:r w:rsidRPr="00530AA9">
        <w:rPr>
          <w:rFonts w:ascii="ˎ̥" w:eastAsia="宋体" w:hAnsi="ˎ̥" w:cs="Arial"/>
          <w:b/>
          <w:color w:val="000000"/>
          <w:kern w:val="0"/>
          <w:szCs w:val="21"/>
        </w:rPr>
        <w:t>第二章　基本要求</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第九条　医疗器械注册申请人和备案人应当建立与产品研制、生产有关的质量管理体系，并保持有效运行。</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按照创新医疗器械特别审批程序审批的境内医疗器械申请注册时，样品委托其他企业生产的，应当委托具有相应生产范围的医疗器械生产企业；不属于按照创新医疗器械特别审批程序审批的境内医疗器械申请注册时，样品不得委托其他企业生产。</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第十条　办理医疗器械注册或者备案事务的人员应当具有相应的专业知识，熟悉医疗器械注册或者备案管理的法律、法规、规章和技术要求。</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第十一条　申请人或者备案人申请注册或者办理备案，应当遵循医疗器械安全有效基本要求，保证研制过程规范，所有数据真实、完整和</w:t>
      </w:r>
      <w:proofErr w:type="gramStart"/>
      <w:r w:rsidRPr="00530AA9">
        <w:rPr>
          <w:rFonts w:ascii="ˎ̥" w:eastAsia="宋体" w:hAnsi="ˎ̥" w:cs="Arial"/>
          <w:color w:val="000000"/>
          <w:kern w:val="0"/>
          <w:szCs w:val="21"/>
        </w:rPr>
        <w:t>可</w:t>
      </w:r>
      <w:proofErr w:type="gramEnd"/>
      <w:r w:rsidRPr="00530AA9">
        <w:rPr>
          <w:rFonts w:ascii="ˎ̥" w:eastAsia="宋体" w:hAnsi="ˎ̥" w:cs="Arial"/>
          <w:color w:val="000000"/>
          <w:kern w:val="0"/>
          <w:szCs w:val="21"/>
        </w:rPr>
        <w:t>溯源。</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lastRenderedPageBreak/>
        <w:t xml:space="preserve">　　第十二条　申请注册或者办理备案的资料应当使用中文。根据外文资料翻译的，应当同时提供原文。引用未公开发表的文献资料时，应当提供资料所有者许可使用的证明文件。</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申请人、备案人对资料的真实性负责。</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第十三条　申请注册或者办理备案的进口医疗器械，应当在申请人或者备案人注册地或者生产地址所在国家（地区）已获准上市销售。</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申请人或者备案人注册地或者生产地址所在国家（地区）未将该产品作为医疗器械管理的，申请人或者备案人需提供相关证明文件，包括注册地或者生产地址所在国家（地区）准许该产品上市销售的证明文件。</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第十四条　境外申请人或者备案人应当通过其在中国境内设立的代表机构或者指定中国境内的企业法人作为代理人，配合境外申请人或者备案人开展相关工作。</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代理人除办理医疗器械注册或者备案事宜外，还应当承担以下责任：</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（一）与相应食品药品监督管理部门、境外申请人或者备案人的联络；</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（二）向申请人或者备案人如实、准确传达相关的法规和技术要求；</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（三）收集上市后医疗器械不良事件信息并反馈境外注册人或者备案人，同时向相应的食品药品监督管理部门报告；</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（四）协调医疗器械上市后的产品召回工作，并向相应的食品药品监督管理部门报告；</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（五）其他涉及产品质量和售后服务的连带责任。</w:t>
      </w:r>
    </w:p>
    <w:p w:rsidR="00530AA9" w:rsidRPr="00530AA9" w:rsidRDefault="00530AA9" w:rsidP="00530AA9">
      <w:pPr>
        <w:widowControl/>
        <w:wordWrap w:val="0"/>
        <w:spacing w:before="100" w:beforeAutospacing="1" w:after="100" w:afterAutospacing="1" w:line="480" w:lineRule="auto"/>
        <w:jc w:val="center"/>
        <w:rPr>
          <w:rFonts w:ascii="ˎ̥" w:eastAsia="宋体" w:hAnsi="ˎ̥" w:cs="Arial"/>
          <w:b/>
          <w:color w:val="000000"/>
          <w:kern w:val="0"/>
          <w:szCs w:val="21"/>
        </w:rPr>
      </w:pPr>
      <w:r w:rsidRPr="00530AA9">
        <w:rPr>
          <w:rFonts w:ascii="ˎ̥" w:eastAsia="宋体" w:hAnsi="ˎ̥" w:cs="Arial"/>
          <w:b/>
          <w:color w:val="000000"/>
          <w:kern w:val="0"/>
          <w:szCs w:val="21"/>
        </w:rPr>
        <w:t>第三章　产品技术要求和注册检验</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lastRenderedPageBreak/>
        <w:t xml:space="preserve">　　第十五条　申请人或者备案人应当编制拟注册或者备案医疗器械的产品技术要求。第一类医疗器械的产品技术要求由备案人办理备案时提交食品药品监督管理部门。第二类、第三类医疗器械的产品技术要求由食品药品监督管理部门在批准注册时予以核准。</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产品技术要求主要包括医疗器械成品的性能指标和检验方法，其中性能指标是指可进行客观判定的成品的功能性、安全性指标以及与质量控制相关的其他指标。</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在中国上市的医疗器械应当符合经注册核准或者备案的产品技术要求。</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第十六条　申请第二类、第三类医疗器械注册，应当进行注册检验。医疗器械检验机构应当依据产品技术要求对相关产品进行注册检验。</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注册检验样品的生产应当符合医疗器械质量管理体系的相关要求，注册检验合格的方可进行临床试验或者申请注册。</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办理第一类医疗器械备案的，备案人可以提交产品自检报告。</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第十七条　申请注册检验，申请人应当向检验机构提供注册检验所需要的有关技术资料、注册检验用样品及产品技术要求。</w:t>
      </w:r>
    </w:p>
    <w:p w:rsidR="00530AA9" w:rsidRPr="00530AA9" w:rsidRDefault="00530AA9" w:rsidP="00530AA9">
      <w:pPr>
        <w:widowControl/>
        <w:wordWrap w:val="0"/>
        <w:spacing w:before="100" w:beforeAutospacing="1" w:after="100" w:afterAutospacing="1" w:line="480" w:lineRule="auto"/>
        <w:jc w:val="left"/>
        <w:rPr>
          <w:rFonts w:ascii="ˎ̥" w:eastAsia="宋体" w:hAnsi="ˎ̥" w:cs="Arial"/>
          <w:color w:val="000000"/>
          <w:kern w:val="0"/>
          <w:szCs w:val="21"/>
        </w:rPr>
      </w:pPr>
      <w:r w:rsidRPr="00530AA9">
        <w:rPr>
          <w:rFonts w:ascii="ˎ̥" w:eastAsia="宋体" w:hAnsi="ˎ̥" w:cs="Arial"/>
          <w:color w:val="000000"/>
          <w:kern w:val="0"/>
          <w:szCs w:val="21"/>
        </w:rPr>
        <w:t xml:space="preserve">　　第十八条　医疗器械检验机构应当具有医疗器械检验资质、在其承检范围内进行检验，并对申请人提交的产品技术要求进行预评价。</w:t>
      </w:r>
      <w:proofErr w:type="gramStart"/>
      <w:r w:rsidRPr="00530AA9">
        <w:rPr>
          <w:rFonts w:ascii="ˎ̥" w:eastAsia="宋体" w:hAnsi="ˎ̥" w:cs="Arial"/>
          <w:color w:val="000000"/>
          <w:kern w:val="0"/>
          <w:szCs w:val="21"/>
        </w:rPr>
        <w:t>预评价意见随注册</w:t>
      </w:r>
      <w:proofErr w:type="gramEnd"/>
      <w:r w:rsidRPr="00530AA9">
        <w:rPr>
          <w:rFonts w:ascii="ˎ̥" w:eastAsia="宋体" w:hAnsi="ˎ̥" w:cs="Arial"/>
          <w:color w:val="000000"/>
          <w:kern w:val="0"/>
          <w:szCs w:val="21"/>
        </w:rPr>
        <w:t>检验报告一同出具给申请人。</w:t>
      </w:r>
      <w:r w:rsidRPr="00530AA9">
        <w:rPr>
          <w:rFonts w:ascii="ˎ̥" w:eastAsia="宋体" w:hAnsi="ˎ̥" w:cs="Arial"/>
          <w:color w:val="000000"/>
          <w:kern w:val="0"/>
          <w:sz w:val="18"/>
          <w:szCs w:val="18"/>
        </w:rPr>
        <w:br/>
      </w:r>
      <w:r w:rsidRPr="00530AA9">
        <w:rPr>
          <w:rFonts w:ascii="ˎ̥" w:eastAsia="宋体" w:hAnsi="ˎ̥" w:cs="Arial"/>
          <w:color w:val="000000"/>
          <w:kern w:val="0"/>
          <w:szCs w:val="21"/>
        </w:rPr>
        <w:t xml:space="preserve">　　尚未列入医疗器械检验机构承检范围的医疗器械，由相应的注册审批部门指定有能力的检验机构进行检验。</w:t>
      </w:r>
    </w:p>
    <w:p w:rsidR="00530AA9" w:rsidRDefault="00530AA9" w:rsidP="00530AA9">
      <w:pPr>
        <w:ind w:firstLine="420"/>
        <w:rPr>
          <w:rFonts w:ascii="ˎ̥" w:eastAsia="宋体" w:hAnsi="ˎ̥" w:cs="Arial"/>
          <w:color w:val="000000"/>
          <w:kern w:val="0"/>
          <w:szCs w:val="21"/>
        </w:rPr>
      </w:pPr>
      <w:r w:rsidRPr="00530AA9">
        <w:rPr>
          <w:rFonts w:ascii="ˎ̥" w:eastAsia="宋体" w:hAnsi="ˎ̥" w:cs="Arial"/>
          <w:color w:val="000000"/>
          <w:kern w:val="0"/>
          <w:szCs w:val="21"/>
        </w:rPr>
        <w:t>第十九条　同一注册单元内所检验的产品应当能够代表</w:t>
      </w:r>
      <w:proofErr w:type="gramStart"/>
      <w:r w:rsidRPr="00530AA9">
        <w:rPr>
          <w:rFonts w:ascii="ˎ̥" w:eastAsia="宋体" w:hAnsi="ˎ̥" w:cs="Arial"/>
          <w:color w:val="000000"/>
          <w:kern w:val="0"/>
          <w:szCs w:val="21"/>
        </w:rPr>
        <w:t>本注册</w:t>
      </w:r>
      <w:proofErr w:type="gramEnd"/>
      <w:r w:rsidRPr="00530AA9">
        <w:rPr>
          <w:rFonts w:ascii="ˎ̥" w:eastAsia="宋体" w:hAnsi="ˎ̥" w:cs="Arial"/>
          <w:color w:val="000000"/>
          <w:kern w:val="0"/>
          <w:szCs w:val="21"/>
        </w:rPr>
        <w:t>单元内其他产品的安全性和有效性。</w:t>
      </w:r>
    </w:p>
    <w:p w:rsidR="00530AA9" w:rsidRPr="00530AA9" w:rsidRDefault="00530AA9" w:rsidP="00530AA9">
      <w:pPr>
        <w:ind w:firstLine="420"/>
        <w:rPr>
          <w:rFonts w:hint="eastAsia"/>
        </w:rPr>
      </w:pPr>
    </w:p>
    <w:p w:rsidR="0054137C" w:rsidRPr="00530AA9" w:rsidRDefault="0054137C" w:rsidP="00530AA9">
      <w:pPr>
        <w:widowControl/>
        <w:wordWrap w:val="0"/>
        <w:spacing w:before="100" w:beforeAutospacing="1" w:after="100" w:afterAutospacing="1" w:line="480" w:lineRule="auto"/>
        <w:jc w:val="center"/>
        <w:rPr>
          <w:rFonts w:ascii="ˎ̥" w:eastAsia="宋体" w:hAnsi="ˎ̥" w:cs="Arial" w:hint="eastAsia"/>
          <w:b/>
          <w:color w:val="000000"/>
          <w:kern w:val="0"/>
          <w:szCs w:val="21"/>
        </w:rPr>
      </w:pPr>
      <w:r w:rsidRPr="00530AA9">
        <w:rPr>
          <w:rFonts w:ascii="ˎ̥" w:eastAsia="宋体" w:hAnsi="ˎ̥" w:cs="Arial" w:hint="eastAsia"/>
          <w:b/>
          <w:color w:val="000000"/>
          <w:kern w:val="0"/>
          <w:szCs w:val="21"/>
        </w:rPr>
        <w:lastRenderedPageBreak/>
        <w:t>第四章　临床评价</w:t>
      </w:r>
    </w:p>
    <w:p w:rsidR="0054137C" w:rsidRDefault="0054137C" w:rsidP="0054137C"/>
    <w:p w:rsidR="0054137C" w:rsidRDefault="0054137C" w:rsidP="0054137C">
      <w:pPr>
        <w:rPr>
          <w:rFonts w:hint="eastAsia"/>
        </w:rPr>
      </w:pPr>
      <w:r>
        <w:rPr>
          <w:rFonts w:hint="eastAsia"/>
        </w:rPr>
        <w:t xml:space="preserve">　　第二十条　医疗器械临床评价是指申请人或者备案人通过临床文献资料、临床经验数据、临床试验等信息对产品是否满足使用要求或者适用范围进行确认的过程。</w:t>
      </w:r>
    </w:p>
    <w:p w:rsidR="0054137C" w:rsidRDefault="0054137C" w:rsidP="0054137C"/>
    <w:p w:rsidR="0054137C" w:rsidRDefault="0054137C" w:rsidP="0054137C">
      <w:pPr>
        <w:rPr>
          <w:rFonts w:hint="eastAsia"/>
        </w:rPr>
      </w:pPr>
      <w:r>
        <w:rPr>
          <w:rFonts w:hint="eastAsia"/>
        </w:rPr>
        <w:t xml:space="preserve">　　第二十一条　临床评价资料是指申请人或者备案人进行临床评价所形成的文件。</w:t>
      </w:r>
    </w:p>
    <w:p w:rsidR="0054137C" w:rsidRDefault="0054137C" w:rsidP="0054137C">
      <w:pPr>
        <w:rPr>
          <w:rFonts w:hint="eastAsia"/>
        </w:rPr>
      </w:pPr>
      <w:r>
        <w:rPr>
          <w:rFonts w:hint="eastAsia"/>
        </w:rPr>
        <w:t xml:space="preserve">　　需要进行临床试验的，提交的临床评价资料应当包括临床试验方案和临床试验报告。</w:t>
      </w:r>
    </w:p>
    <w:p w:rsidR="0054137C" w:rsidRDefault="0054137C" w:rsidP="0054137C"/>
    <w:p w:rsidR="0054137C" w:rsidRDefault="0054137C" w:rsidP="0054137C">
      <w:pPr>
        <w:rPr>
          <w:rFonts w:hint="eastAsia"/>
        </w:rPr>
      </w:pPr>
      <w:r>
        <w:rPr>
          <w:rFonts w:hint="eastAsia"/>
        </w:rPr>
        <w:t xml:space="preserve">　　第二十二条　办理第一类医疗器械备案，不需进行临床试验。申请第二类、第三类医疗器械注册，应当进行临床试验。</w:t>
      </w:r>
    </w:p>
    <w:p w:rsidR="0054137C" w:rsidRDefault="0054137C" w:rsidP="0054137C">
      <w:pPr>
        <w:rPr>
          <w:rFonts w:hint="eastAsia"/>
        </w:rPr>
      </w:pPr>
      <w:r>
        <w:rPr>
          <w:rFonts w:hint="eastAsia"/>
        </w:rPr>
        <w:t xml:space="preserve">　　有下列情形之一的，可以免于进行临床试验：</w:t>
      </w:r>
    </w:p>
    <w:p w:rsidR="0054137C" w:rsidRDefault="0054137C" w:rsidP="0054137C">
      <w:pPr>
        <w:rPr>
          <w:rFonts w:hint="eastAsia"/>
        </w:rPr>
      </w:pPr>
      <w:r>
        <w:rPr>
          <w:rFonts w:hint="eastAsia"/>
        </w:rPr>
        <w:t xml:space="preserve">　　（一）工作机理明确、设计定型，生产工艺成熟，已上市的同品种医疗器械临床应用多年且无严重不良事件记录，不改变常规用途的；</w:t>
      </w:r>
    </w:p>
    <w:p w:rsidR="0054137C" w:rsidRDefault="0054137C" w:rsidP="0054137C">
      <w:pPr>
        <w:rPr>
          <w:rFonts w:hint="eastAsia"/>
        </w:rPr>
      </w:pPr>
      <w:r>
        <w:rPr>
          <w:rFonts w:hint="eastAsia"/>
        </w:rPr>
        <w:t xml:space="preserve">　　（二）通过非临床评价能够证明该医疗器械安全、有效的；</w:t>
      </w:r>
    </w:p>
    <w:p w:rsidR="0054137C" w:rsidRDefault="0054137C" w:rsidP="0054137C">
      <w:pPr>
        <w:rPr>
          <w:rFonts w:hint="eastAsia"/>
        </w:rPr>
      </w:pPr>
      <w:r>
        <w:rPr>
          <w:rFonts w:hint="eastAsia"/>
        </w:rPr>
        <w:t xml:space="preserve">　　（三）通过对同品种医疗器械临床试验或者临床使用获得的数据进行分析评价，能够证明该医疗器械安全、有效的。</w:t>
      </w:r>
    </w:p>
    <w:p w:rsidR="0054137C" w:rsidRDefault="0054137C" w:rsidP="0054137C">
      <w:pPr>
        <w:rPr>
          <w:rFonts w:hint="eastAsia"/>
        </w:rPr>
      </w:pPr>
      <w:r>
        <w:rPr>
          <w:rFonts w:hint="eastAsia"/>
        </w:rPr>
        <w:t xml:space="preserve">　　免于进行临床试验的医疗器械目录由国家食品药品监督管理总局制定、调整并公布。未列入免于进行临床试验的医疗器械目录的产品，通过对同品种医疗器械临床试验或者临床使用获得的数据进行分析评价，能够证明该医疗器械安全、有效的，申请人可以在申报注册时予以说明，并提交相关证明资料。</w:t>
      </w:r>
    </w:p>
    <w:p w:rsidR="0054137C" w:rsidRDefault="0054137C" w:rsidP="0054137C"/>
    <w:p w:rsidR="0054137C" w:rsidRDefault="0054137C" w:rsidP="0054137C">
      <w:pPr>
        <w:rPr>
          <w:rFonts w:hint="eastAsia"/>
        </w:rPr>
      </w:pPr>
      <w:r>
        <w:rPr>
          <w:rFonts w:hint="eastAsia"/>
        </w:rPr>
        <w:t xml:space="preserve">　　第二十三条　开展医疗器械临床试验，应当按照医疗器械临床试验质量管理规范的要求，在取得资质的临床试验机构内进行。临床试验样品的生产应当符合医疗器械质量管理体系的相关要求。</w:t>
      </w:r>
    </w:p>
    <w:p w:rsidR="0054137C" w:rsidRDefault="0054137C" w:rsidP="0054137C"/>
    <w:p w:rsidR="0054137C" w:rsidRDefault="0054137C" w:rsidP="0054137C">
      <w:pPr>
        <w:rPr>
          <w:rFonts w:hint="eastAsia"/>
        </w:rPr>
      </w:pPr>
      <w:r>
        <w:rPr>
          <w:rFonts w:hint="eastAsia"/>
        </w:rPr>
        <w:t xml:space="preserve">　　第二十四条　第三类医疗器械进行临床试验对人体具有较高风险的，应当经国家食品药品监督管理总局批准。需进行临床试验审批的第三类医疗器械目录由国家食品药品监督管理总局制定、调整并公布。</w:t>
      </w:r>
    </w:p>
    <w:p w:rsidR="0054137C" w:rsidRDefault="0054137C" w:rsidP="0054137C"/>
    <w:p w:rsidR="0054137C" w:rsidRDefault="0054137C" w:rsidP="0054137C">
      <w:pPr>
        <w:rPr>
          <w:rFonts w:hint="eastAsia"/>
        </w:rPr>
      </w:pPr>
      <w:r>
        <w:rPr>
          <w:rFonts w:hint="eastAsia"/>
        </w:rPr>
        <w:t xml:space="preserve">　　第二十五条　临床试验审批是指国家食品药品监督管理总局根据申请人的申请，对拟开展临床试验的医疗器械的风险程度、临床试验方案、临床受益与风险对比分析报告等进行综合分析，以决定是否同意开展临床试验的过程。</w:t>
      </w:r>
    </w:p>
    <w:p w:rsidR="0054137C" w:rsidRDefault="0054137C" w:rsidP="0054137C"/>
    <w:p w:rsidR="0054137C" w:rsidRDefault="0054137C" w:rsidP="0054137C">
      <w:pPr>
        <w:rPr>
          <w:rFonts w:hint="eastAsia"/>
        </w:rPr>
      </w:pPr>
      <w:r>
        <w:rPr>
          <w:rFonts w:hint="eastAsia"/>
        </w:rPr>
        <w:t xml:space="preserve">　　第二十六条　需进行医疗器械临床试验审批的，申请人应当按照相关要求向国家食品药品监督管理总局报送申报资料。</w:t>
      </w:r>
    </w:p>
    <w:p w:rsidR="0054137C" w:rsidRDefault="0054137C" w:rsidP="0054137C"/>
    <w:p w:rsidR="0054137C" w:rsidRDefault="0054137C" w:rsidP="0054137C">
      <w:pPr>
        <w:rPr>
          <w:rFonts w:hint="eastAsia"/>
        </w:rPr>
      </w:pPr>
      <w:r>
        <w:rPr>
          <w:rFonts w:hint="eastAsia"/>
        </w:rPr>
        <w:t xml:space="preserve">　　第二十七条　国家食品药品监督管理总局受理医疗器械临床试验审批申请后，应当自受理申请之日起</w:t>
      </w:r>
      <w:r>
        <w:rPr>
          <w:rFonts w:hint="eastAsia"/>
        </w:rPr>
        <w:t>3</w:t>
      </w:r>
      <w:r>
        <w:rPr>
          <w:rFonts w:hint="eastAsia"/>
        </w:rPr>
        <w:t>个工作日内将申报资料转交医疗器械技术审评机构。</w:t>
      </w:r>
    </w:p>
    <w:p w:rsidR="0054137C" w:rsidRDefault="0054137C" w:rsidP="0054137C">
      <w:pPr>
        <w:rPr>
          <w:rFonts w:hint="eastAsia"/>
        </w:rPr>
      </w:pPr>
      <w:r>
        <w:rPr>
          <w:rFonts w:hint="eastAsia"/>
        </w:rPr>
        <w:t xml:space="preserve">　　技术审评机构应当在</w:t>
      </w:r>
      <w:r>
        <w:rPr>
          <w:rFonts w:hint="eastAsia"/>
        </w:rPr>
        <w:t>40</w:t>
      </w:r>
      <w:r>
        <w:rPr>
          <w:rFonts w:hint="eastAsia"/>
        </w:rPr>
        <w:t>个工作日内完成技术审评。国家食品药品监督管理总局应当在技术审评结束后</w:t>
      </w:r>
      <w:r>
        <w:rPr>
          <w:rFonts w:hint="eastAsia"/>
        </w:rPr>
        <w:t>20</w:t>
      </w:r>
      <w:r>
        <w:rPr>
          <w:rFonts w:hint="eastAsia"/>
        </w:rPr>
        <w:t>个工作日内</w:t>
      </w:r>
      <w:proofErr w:type="gramStart"/>
      <w:r>
        <w:rPr>
          <w:rFonts w:hint="eastAsia"/>
        </w:rPr>
        <w:t>作出</w:t>
      </w:r>
      <w:proofErr w:type="gramEnd"/>
      <w:r>
        <w:rPr>
          <w:rFonts w:hint="eastAsia"/>
        </w:rPr>
        <w:t>决定。准予开展临床试验的，发给医疗器械临床试验批件；不予批准的，应当书面说明理由。</w:t>
      </w:r>
    </w:p>
    <w:p w:rsidR="0054137C" w:rsidRDefault="0054137C" w:rsidP="0054137C"/>
    <w:p w:rsidR="0054137C" w:rsidRDefault="0054137C" w:rsidP="0054137C">
      <w:pPr>
        <w:rPr>
          <w:rFonts w:hint="eastAsia"/>
        </w:rPr>
      </w:pPr>
      <w:r>
        <w:rPr>
          <w:rFonts w:hint="eastAsia"/>
        </w:rPr>
        <w:lastRenderedPageBreak/>
        <w:t xml:space="preserve">　　第二十八条　技术审评过程中需要申请人补正资料的，技术审评机构应当一次告知需要补正的全部内容。申请人应当在</w:t>
      </w:r>
      <w:r>
        <w:rPr>
          <w:rFonts w:hint="eastAsia"/>
        </w:rPr>
        <w:t>1</w:t>
      </w:r>
      <w:r>
        <w:rPr>
          <w:rFonts w:hint="eastAsia"/>
        </w:rPr>
        <w:t>年内按照补正通知的要求一次提供补充资料。技术审评机构应当自收到补充资料之日起</w:t>
      </w:r>
      <w:r>
        <w:rPr>
          <w:rFonts w:hint="eastAsia"/>
        </w:rPr>
        <w:t>40</w:t>
      </w:r>
      <w:r>
        <w:rPr>
          <w:rFonts w:hint="eastAsia"/>
        </w:rPr>
        <w:t>个工作日内完成技术审评。申请人补充资料的时间不计算在审评时限内。</w:t>
      </w:r>
    </w:p>
    <w:p w:rsidR="0054137C" w:rsidRDefault="0054137C" w:rsidP="0054137C">
      <w:pPr>
        <w:rPr>
          <w:rFonts w:hint="eastAsia"/>
        </w:rPr>
      </w:pPr>
      <w:r>
        <w:rPr>
          <w:rFonts w:hint="eastAsia"/>
        </w:rPr>
        <w:t xml:space="preserve">　　申请人逾期未提交补充资料的，由技术审评机构终止技术审评，提出不予批准的建议，国家食品药品监督管理总局核准后作出不予批准的决定。</w:t>
      </w:r>
    </w:p>
    <w:p w:rsidR="0054137C" w:rsidRDefault="0054137C" w:rsidP="0054137C"/>
    <w:p w:rsidR="0054137C" w:rsidRDefault="0054137C" w:rsidP="0054137C">
      <w:pPr>
        <w:rPr>
          <w:rFonts w:hint="eastAsia"/>
        </w:rPr>
      </w:pPr>
      <w:r>
        <w:rPr>
          <w:rFonts w:hint="eastAsia"/>
        </w:rPr>
        <w:t xml:space="preserve">　　第二十九条　有下列情形之一的，国家食品药品监督管理总局应当撤销已获得的医疗器械临床试验批准文件：</w:t>
      </w:r>
    </w:p>
    <w:p w:rsidR="0054137C" w:rsidRDefault="0054137C" w:rsidP="0054137C">
      <w:pPr>
        <w:rPr>
          <w:rFonts w:hint="eastAsia"/>
        </w:rPr>
      </w:pPr>
      <w:r>
        <w:rPr>
          <w:rFonts w:hint="eastAsia"/>
        </w:rPr>
        <w:t xml:space="preserve">　　（一）临床试验申报资料虚假的</w:t>
      </w:r>
      <w:r>
        <w:rPr>
          <w:rFonts w:hint="eastAsia"/>
        </w:rPr>
        <w:t>;</w:t>
      </w:r>
    </w:p>
    <w:p w:rsidR="0054137C" w:rsidRDefault="0054137C" w:rsidP="0054137C">
      <w:pPr>
        <w:rPr>
          <w:rFonts w:hint="eastAsia"/>
        </w:rPr>
      </w:pPr>
      <w:r>
        <w:rPr>
          <w:rFonts w:hint="eastAsia"/>
        </w:rPr>
        <w:t xml:space="preserve">　　（二）已有最新研究证实原批准的临床试验伦理性和科学性存在问题的</w:t>
      </w:r>
      <w:r>
        <w:rPr>
          <w:rFonts w:hint="eastAsia"/>
        </w:rPr>
        <w:t>;</w:t>
      </w:r>
    </w:p>
    <w:p w:rsidR="0054137C" w:rsidRDefault="0054137C" w:rsidP="0054137C">
      <w:pPr>
        <w:rPr>
          <w:rFonts w:hint="eastAsia"/>
        </w:rPr>
      </w:pPr>
      <w:r>
        <w:rPr>
          <w:rFonts w:hint="eastAsia"/>
        </w:rPr>
        <w:t xml:space="preserve">　　（三）其他应当撤销的情形。</w:t>
      </w:r>
    </w:p>
    <w:p w:rsidR="0054137C" w:rsidRDefault="0054137C" w:rsidP="0054137C"/>
    <w:p w:rsidR="0054137C" w:rsidRDefault="0054137C" w:rsidP="0054137C">
      <w:pPr>
        <w:rPr>
          <w:rFonts w:hint="eastAsia"/>
        </w:rPr>
      </w:pPr>
      <w:r>
        <w:rPr>
          <w:rFonts w:hint="eastAsia"/>
        </w:rPr>
        <w:t xml:space="preserve">　　第三十条　医疗器械临床试验应当在批准后</w:t>
      </w:r>
      <w:r>
        <w:rPr>
          <w:rFonts w:hint="eastAsia"/>
        </w:rPr>
        <w:t>3</w:t>
      </w:r>
      <w:r>
        <w:rPr>
          <w:rFonts w:hint="eastAsia"/>
        </w:rPr>
        <w:t>年内实施；逾期未实施的，原批准文件自行废止，仍需进行临床试验的，应当重新申请。</w:t>
      </w:r>
    </w:p>
    <w:p w:rsidR="0054137C" w:rsidRDefault="0054137C" w:rsidP="0054137C"/>
    <w:p w:rsidR="0054137C" w:rsidRPr="00530AA9" w:rsidRDefault="0054137C" w:rsidP="00530AA9">
      <w:pPr>
        <w:widowControl/>
        <w:wordWrap w:val="0"/>
        <w:spacing w:before="100" w:beforeAutospacing="1" w:after="100" w:afterAutospacing="1" w:line="480" w:lineRule="auto"/>
        <w:jc w:val="center"/>
        <w:rPr>
          <w:rFonts w:ascii="ˎ̥" w:eastAsia="宋体" w:hAnsi="ˎ̥" w:cs="Arial" w:hint="eastAsia"/>
          <w:b/>
          <w:color w:val="000000"/>
          <w:kern w:val="0"/>
          <w:szCs w:val="21"/>
        </w:rPr>
      </w:pPr>
      <w:r w:rsidRPr="00530AA9">
        <w:rPr>
          <w:rFonts w:ascii="ˎ̥" w:eastAsia="宋体" w:hAnsi="ˎ̥" w:cs="Arial" w:hint="eastAsia"/>
          <w:b/>
          <w:color w:val="000000"/>
          <w:kern w:val="0"/>
          <w:szCs w:val="21"/>
        </w:rPr>
        <w:t>第五章　产品注册</w:t>
      </w:r>
    </w:p>
    <w:p w:rsidR="0054137C" w:rsidRDefault="0054137C" w:rsidP="0054137C"/>
    <w:p w:rsidR="0054137C" w:rsidRDefault="0054137C" w:rsidP="0054137C">
      <w:pPr>
        <w:rPr>
          <w:rFonts w:hint="eastAsia"/>
        </w:rPr>
      </w:pPr>
      <w:r>
        <w:rPr>
          <w:rFonts w:hint="eastAsia"/>
        </w:rPr>
        <w:t xml:space="preserve">　　第三十一条　申请医疗器械注册，申请人应当按照相关要求向食品药品监督管理部门报送申报资料。</w:t>
      </w:r>
    </w:p>
    <w:p w:rsidR="0054137C" w:rsidRDefault="0054137C" w:rsidP="0054137C"/>
    <w:p w:rsidR="0054137C" w:rsidRDefault="0054137C" w:rsidP="0054137C">
      <w:pPr>
        <w:rPr>
          <w:rFonts w:hint="eastAsia"/>
        </w:rPr>
      </w:pPr>
      <w:r>
        <w:rPr>
          <w:rFonts w:hint="eastAsia"/>
        </w:rPr>
        <w:t xml:space="preserve">　　第三十二条　食品药品监督管理部门收到申请后对申报资料进行形式审查，并根据下列情况分别</w:t>
      </w:r>
      <w:proofErr w:type="gramStart"/>
      <w:r>
        <w:rPr>
          <w:rFonts w:hint="eastAsia"/>
        </w:rPr>
        <w:t>作出</w:t>
      </w:r>
      <w:proofErr w:type="gramEnd"/>
      <w:r>
        <w:rPr>
          <w:rFonts w:hint="eastAsia"/>
        </w:rPr>
        <w:t>处理：</w:t>
      </w:r>
    </w:p>
    <w:p w:rsidR="0054137C" w:rsidRDefault="0054137C" w:rsidP="0054137C">
      <w:pPr>
        <w:rPr>
          <w:rFonts w:hint="eastAsia"/>
        </w:rPr>
      </w:pPr>
      <w:r>
        <w:rPr>
          <w:rFonts w:hint="eastAsia"/>
        </w:rPr>
        <w:t xml:space="preserve">　　（一）申请事项属于本部门职权范围，申报资料齐全、符合形式审查要求的，予以受理；</w:t>
      </w:r>
    </w:p>
    <w:p w:rsidR="0054137C" w:rsidRDefault="0054137C" w:rsidP="0054137C">
      <w:pPr>
        <w:rPr>
          <w:rFonts w:hint="eastAsia"/>
        </w:rPr>
      </w:pPr>
      <w:r>
        <w:rPr>
          <w:rFonts w:hint="eastAsia"/>
        </w:rPr>
        <w:t xml:space="preserve">　　（二）申报资料存在可以当场更正的错误的，应当允许申请人当场更正；</w:t>
      </w:r>
    </w:p>
    <w:p w:rsidR="0054137C" w:rsidRDefault="0054137C" w:rsidP="0054137C">
      <w:pPr>
        <w:rPr>
          <w:rFonts w:hint="eastAsia"/>
        </w:rPr>
      </w:pPr>
      <w:r>
        <w:rPr>
          <w:rFonts w:hint="eastAsia"/>
        </w:rPr>
        <w:t xml:space="preserve">　　（三）申报资料不齐全或者不符合形式审查要求的，应当在</w:t>
      </w:r>
      <w:r>
        <w:rPr>
          <w:rFonts w:hint="eastAsia"/>
        </w:rPr>
        <w:t>5</w:t>
      </w:r>
      <w:r>
        <w:rPr>
          <w:rFonts w:hint="eastAsia"/>
        </w:rPr>
        <w:t>个工作日内一次告知申请人需要补正的全部内容，逾期不告知的，自收到申报资料之日起即为受理；</w:t>
      </w:r>
    </w:p>
    <w:p w:rsidR="0054137C" w:rsidRDefault="0054137C" w:rsidP="0054137C">
      <w:pPr>
        <w:rPr>
          <w:rFonts w:hint="eastAsia"/>
        </w:rPr>
      </w:pPr>
      <w:r>
        <w:rPr>
          <w:rFonts w:hint="eastAsia"/>
        </w:rPr>
        <w:t xml:space="preserve">　　（四）申请事项不属于本部门职权范围的，应当即时告知申请人不予受理。</w:t>
      </w:r>
    </w:p>
    <w:p w:rsidR="0054137C" w:rsidRDefault="0054137C" w:rsidP="0054137C">
      <w:pPr>
        <w:rPr>
          <w:rFonts w:hint="eastAsia"/>
        </w:rPr>
      </w:pPr>
      <w:r>
        <w:rPr>
          <w:rFonts w:hint="eastAsia"/>
        </w:rPr>
        <w:t xml:space="preserve">　　食品药品监督管理部门受理或者不予受理医疗器械注册申请，应当出具加盖本部门专用印章并注明日期的受理或者不予受理的通知书。</w:t>
      </w:r>
    </w:p>
    <w:p w:rsidR="0054137C" w:rsidRDefault="0054137C" w:rsidP="0054137C"/>
    <w:p w:rsidR="0054137C" w:rsidRDefault="0054137C" w:rsidP="0054137C">
      <w:pPr>
        <w:rPr>
          <w:rFonts w:hint="eastAsia"/>
        </w:rPr>
      </w:pPr>
      <w:r>
        <w:rPr>
          <w:rFonts w:hint="eastAsia"/>
        </w:rPr>
        <w:t xml:space="preserve">　　第三十三条　受理注册申请的食品药品监督管理部门应当自受理之日起</w:t>
      </w:r>
      <w:r>
        <w:rPr>
          <w:rFonts w:hint="eastAsia"/>
        </w:rPr>
        <w:t>3</w:t>
      </w:r>
      <w:r>
        <w:rPr>
          <w:rFonts w:hint="eastAsia"/>
        </w:rPr>
        <w:t>个工作日内将申报资料转交技术审评机构。</w:t>
      </w:r>
    </w:p>
    <w:p w:rsidR="0054137C" w:rsidRDefault="0054137C" w:rsidP="0054137C">
      <w:pPr>
        <w:rPr>
          <w:rFonts w:hint="eastAsia"/>
        </w:rPr>
      </w:pPr>
      <w:r>
        <w:rPr>
          <w:rFonts w:hint="eastAsia"/>
        </w:rPr>
        <w:t xml:space="preserve">　　技术审评机构应当在</w:t>
      </w:r>
      <w:r>
        <w:rPr>
          <w:rFonts w:hint="eastAsia"/>
        </w:rPr>
        <w:t>60</w:t>
      </w:r>
      <w:r>
        <w:rPr>
          <w:rFonts w:hint="eastAsia"/>
        </w:rPr>
        <w:t>个工作日内完成第二类医疗器械注册的技术审评工作，在</w:t>
      </w:r>
      <w:r>
        <w:rPr>
          <w:rFonts w:hint="eastAsia"/>
        </w:rPr>
        <w:t>90</w:t>
      </w:r>
      <w:r>
        <w:rPr>
          <w:rFonts w:hint="eastAsia"/>
        </w:rPr>
        <w:t>个工作日内完成第三类医疗器械注册的技术审评工作。</w:t>
      </w:r>
    </w:p>
    <w:p w:rsidR="0054137C" w:rsidRDefault="0054137C" w:rsidP="0054137C">
      <w:pPr>
        <w:rPr>
          <w:rFonts w:hint="eastAsia"/>
        </w:rPr>
      </w:pPr>
      <w:r>
        <w:rPr>
          <w:rFonts w:hint="eastAsia"/>
        </w:rPr>
        <w:t xml:space="preserve">　　需要外聘专家审评、药械组合产品需与药品审评机构联合审评的，所需时间不计算在内，技术审评机构应当将所需时间书面告知申请人。</w:t>
      </w:r>
    </w:p>
    <w:p w:rsidR="0054137C" w:rsidRDefault="0054137C" w:rsidP="0054137C"/>
    <w:p w:rsidR="0054137C" w:rsidRDefault="0054137C" w:rsidP="0054137C">
      <w:pPr>
        <w:rPr>
          <w:rFonts w:hint="eastAsia"/>
        </w:rPr>
      </w:pPr>
      <w:r>
        <w:rPr>
          <w:rFonts w:hint="eastAsia"/>
        </w:rPr>
        <w:t xml:space="preserve">　　第三十四条　食品药品监督管理部门在组织产品技术审评时可以调阅原始研究资料，并组织对申请人进行与产品研制、生产有关的质量管理体系核查。</w:t>
      </w:r>
    </w:p>
    <w:p w:rsidR="0054137C" w:rsidRDefault="0054137C" w:rsidP="0054137C">
      <w:pPr>
        <w:rPr>
          <w:rFonts w:hint="eastAsia"/>
        </w:rPr>
      </w:pPr>
      <w:r>
        <w:rPr>
          <w:rFonts w:hint="eastAsia"/>
        </w:rPr>
        <w:t xml:space="preserve">　　境内第二类、第三类医疗器械注册质量管理体系核查，由省、自治区、直辖市食品药品监督管理部门开展，其中境内第三类医疗器械注册质量管理体系核查，由国家食品药品监督</w:t>
      </w:r>
      <w:r>
        <w:rPr>
          <w:rFonts w:hint="eastAsia"/>
        </w:rPr>
        <w:lastRenderedPageBreak/>
        <w:t>管理总局技术审评机构通知相应省、自治区、直辖市食品药品监督管理部门开展核查，必要时参与核查。省、自治区、直辖市食品药品监督管理部门应当在</w:t>
      </w:r>
      <w:r>
        <w:rPr>
          <w:rFonts w:hint="eastAsia"/>
        </w:rPr>
        <w:t>30</w:t>
      </w:r>
      <w:r>
        <w:rPr>
          <w:rFonts w:hint="eastAsia"/>
        </w:rPr>
        <w:t>个工作日内根据相关要求完成体系核查。</w:t>
      </w:r>
    </w:p>
    <w:p w:rsidR="0054137C" w:rsidRDefault="0054137C" w:rsidP="0054137C">
      <w:pPr>
        <w:rPr>
          <w:rFonts w:hint="eastAsia"/>
        </w:rPr>
      </w:pPr>
      <w:r>
        <w:rPr>
          <w:rFonts w:hint="eastAsia"/>
        </w:rPr>
        <w:t xml:space="preserve">　　国家食品药品监督管理总局技术审评机构在对进口第二类、第三类医疗器械开展技术审评时，认为有必要进行质量管理体系核查的，通知国家食品药品监督管理总局质量管理体系检查技术机构根据相关要求开展核查，必要时技术审评机构参与核查。</w:t>
      </w:r>
    </w:p>
    <w:p w:rsidR="0054137C" w:rsidRDefault="0054137C" w:rsidP="0054137C">
      <w:pPr>
        <w:rPr>
          <w:rFonts w:hint="eastAsia"/>
        </w:rPr>
      </w:pPr>
      <w:r>
        <w:rPr>
          <w:rFonts w:hint="eastAsia"/>
        </w:rPr>
        <w:t xml:space="preserve">　　质量管理体系核查的时间不计算在审评时限内。</w:t>
      </w:r>
    </w:p>
    <w:p w:rsidR="0054137C" w:rsidRDefault="0054137C" w:rsidP="0054137C"/>
    <w:p w:rsidR="0054137C" w:rsidRDefault="0054137C" w:rsidP="0054137C">
      <w:pPr>
        <w:rPr>
          <w:rFonts w:hint="eastAsia"/>
        </w:rPr>
      </w:pPr>
      <w:r>
        <w:rPr>
          <w:rFonts w:hint="eastAsia"/>
        </w:rPr>
        <w:t xml:space="preserve">　　第三十五条　技术审评过程中需要申请人补正资料的，技术审评机构应当一次告知需要补正的全部内容。申请人应当在１年内按照补正通知的要求一次提供补充资料；技术审评机构应当自收到补充资料之日起</w:t>
      </w:r>
      <w:r>
        <w:rPr>
          <w:rFonts w:hint="eastAsia"/>
        </w:rPr>
        <w:t>60</w:t>
      </w:r>
      <w:r>
        <w:rPr>
          <w:rFonts w:hint="eastAsia"/>
        </w:rPr>
        <w:t>个工作日内完成技术审评。申请人补充资料的时间不计算在审评时限内。</w:t>
      </w:r>
    </w:p>
    <w:p w:rsidR="0054137C" w:rsidRDefault="0054137C" w:rsidP="0054137C">
      <w:pPr>
        <w:rPr>
          <w:rFonts w:hint="eastAsia"/>
        </w:rPr>
      </w:pPr>
      <w:r>
        <w:rPr>
          <w:rFonts w:hint="eastAsia"/>
        </w:rPr>
        <w:t xml:space="preserve">　　申请人对补正资料通知内容有异议的，可以向相应的技术审评机构提出书面意见，说明理由并提供相应的技术支持资料。</w:t>
      </w:r>
    </w:p>
    <w:p w:rsidR="0054137C" w:rsidRDefault="0054137C" w:rsidP="0054137C">
      <w:pPr>
        <w:rPr>
          <w:rFonts w:hint="eastAsia"/>
        </w:rPr>
      </w:pPr>
      <w:r>
        <w:rPr>
          <w:rFonts w:hint="eastAsia"/>
        </w:rPr>
        <w:t xml:space="preserve">　　申请人逾期未提交补充资料的，由技术审评机构终止技术审评，提出不予注册的建议，由食品药品监督管理部门核准后作出不予注册的决定。</w:t>
      </w:r>
    </w:p>
    <w:p w:rsidR="0054137C" w:rsidRDefault="0054137C" w:rsidP="0054137C"/>
    <w:p w:rsidR="0054137C" w:rsidRDefault="0054137C" w:rsidP="0054137C">
      <w:pPr>
        <w:rPr>
          <w:rFonts w:hint="eastAsia"/>
        </w:rPr>
      </w:pPr>
      <w:r>
        <w:rPr>
          <w:rFonts w:hint="eastAsia"/>
        </w:rPr>
        <w:t xml:space="preserve">　　第三十六条　受理注册申请的食品药品监督管理部门应当在技术审评结束后</w:t>
      </w:r>
      <w:r>
        <w:rPr>
          <w:rFonts w:hint="eastAsia"/>
        </w:rPr>
        <w:t>20</w:t>
      </w:r>
      <w:r>
        <w:rPr>
          <w:rFonts w:hint="eastAsia"/>
        </w:rPr>
        <w:t>个工作日内</w:t>
      </w:r>
      <w:proofErr w:type="gramStart"/>
      <w:r>
        <w:rPr>
          <w:rFonts w:hint="eastAsia"/>
        </w:rPr>
        <w:t>作出</w:t>
      </w:r>
      <w:proofErr w:type="gramEnd"/>
      <w:r>
        <w:rPr>
          <w:rFonts w:hint="eastAsia"/>
        </w:rPr>
        <w:t>决定。对符合安全、有效要求的，准予注册，自</w:t>
      </w:r>
      <w:proofErr w:type="gramStart"/>
      <w:r>
        <w:rPr>
          <w:rFonts w:hint="eastAsia"/>
        </w:rPr>
        <w:t>作出</w:t>
      </w:r>
      <w:proofErr w:type="gramEnd"/>
      <w:r>
        <w:rPr>
          <w:rFonts w:hint="eastAsia"/>
        </w:rPr>
        <w:t>审批决定之日起</w:t>
      </w:r>
      <w:r>
        <w:rPr>
          <w:rFonts w:hint="eastAsia"/>
        </w:rPr>
        <w:t>10</w:t>
      </w:r>
      <w:r>
        <w:rPr>
          <w:rFonts w:hint="eastAsia"/>
        </w:rPr>
        <w:t>个工作日内发给医疗器械注册证，经过核准的产品技术要求以附件形式发给申请人。对不予注册的，应当书面说明理由</w:t>
      </w:r>
      <w:r>
        <w:rPr>
          <w:rFonts w:hint="eastAsia"/>
        </w:rPr>
        <w:t>,</w:t>
      </w:r>
      <w:r>
        <w:rPr>
          <w:rFonts w:hint="eastAsia"/>
        </w:rPr>
        <w:t>并同时告知申请人享有申请复审和依法申请行政复议或者提起行政诉讼的权利。</w:t>
      </w:r>
    </w:p>
    <w:p w:rsidR="0054137C" w:rsidRDefault="0054137C" w:rsidP="0054137C">
      <w:pPr>
        <w:rPr>
          <w:rFonts w:hint="eastAsia"/>
        </w:rPr>
      </w:pPr>
      <w:r>
        <w:rPr>
          <w:rFonts w:hint="eastAsia"/>
        </w:rPr>
        <w:t xml:space="preserve">　　医疗器械注册证有效期为</w:t>
      </w:r>
      <w:r>
        <w:rPr>
          <w:rFonts w:hint="eastAsia"/>
        </w:rPr>
        <w:t>5</w:t>
      </w:r>
      <w:r>
        <w:rPr>
          <w:rFonts w:hint="eastAsia"/>
        </w:rPr>
        <w:t>年。</w:t>
      </w:r>
    </w:p>
    <w:p w:rsidR="0054137C" w:rsidRDefault="0054137C" w:rsidP="0054137C"/>
    <w:p w:rsidR="0054137C" w:rsidRDefault="0054137C" w:rsidP="0054137C">
      <w:pPr>
        <w:rPr>
          <w:rFonts w:hint="eastAsia"/>
        </w:rPr>
      </w:pPr>
      <w:r>
        <w:rPr>
          <w:rFonts w:hint="eastAsia"/>
        </w:rPr>
        <w:t xml:space="preserve">　　第三十七条　医疗器械注册事项包括许可事项和登记事项。许可事项包括产品名称、型号、规格、结构及组成、适用范围、产品技术要求、进口医疗器械的生产地址等；登记事项包括注册人名称和住所、代理人名称和住所、境内医疗器械的生产地址等。</w:t>
      </w:r>
    </w:p>
    <w:p w:rsidR="0054137C" w:rsidRDefault="0054137C" w:rsidP="0054137C"/>
    <w:p w:rsidR="0054137C" w:rsidRDefault="0054137C" w:rsidP="0054137C">
      <w:pPr>
        <w:rPr>
          <w:rFonts w:hint="eastAsia"/>
        </w:rPr>
      </w:pPr>
      <w:r>
        <w:rPr>
          <w:rFonts w:hint="eastAsia"/>
        </w:rPr>
        <w:t xml:space="preserve">　　第三十八条　对用于治疗罕见疾病以及应对突发公共卫生事件急需的医疗器械，食品药品监督管理部门可以在批准该医疗器械注册时要求申请人在产品上市后进一步完成相关工作，并将要求载明于医疗器械注册证中。</w:t>
      </w:r>
    </w:p>
    <w:p w:rsidR="0054137C" w:rsidRDefault="0054137C" w:rsidP="0054137C"/>
    <w:p w:rsidR="0054137C" w:rsidRDefault="0054137C" w:rsidP="0054137C">
      <w:pPr>
        <w:rPr>
          <w:rFonts w:hint="eastAsia"/>
        </w:rPr>
      </w:pPr>
      <w:r>
        <w:rPr>
          <w:rFonts w:hint="eastAsia"/>
        </w:rPr>
        <w:t xml:space="preserve">　　第三十九条　对于已受理的注册申请，有下列情形之一的，食品药品监督管理部门</w:t>
      </w:r>
      <w:proofErr w:type="gramStart"/>
      <w:r>
        <w:rPr>
          <w:rFonts w:hint="eastAsia"/>
        </w:rPr>
        <w:t>作出</w:t>
      </w:r>
      <w:proofErr w:type="gramEnd"/>
      <w:r>
        <w:rPr>
          <w:rFonts w:hint="eastAsia"/>
        </w:rPr>
        <w:t>不予注册的决定，并告知申请人：</w:t>
      </w:r>
    </w:p>
    <w:p w:rsidR="0054137C" w:rsidRDefault="0054137C" w:rsidP="0054137C">
      <w:pPr>
        <w:rPr>
          <w:rFonts w:hint="eastAsia"/>
        </w:rPr>
      </w:pPr>
      <w:r>
        <w:rPr>
          <w:rFonts w:hint="eastAsia"/>
        </w:rPr>
        <w:t xml:space="preserve">　　（一）申请人对拟上市销售医疗器械的安全性、有效性进行的研究及其结果无法证明产品安全、有效的；</w:t>
      </w:r>
    </w:p>
    <w:p w:rsidR="0054137C" w:rsidRDefault="0054137C" w:rsidP="0054137C">
      <w:pPr>
        <w:rPr>
          <w:rFonts w:hint="eastAsia"/>
        </w:rPr>
      </w:pPr>
      <w:r>
        <w:rPr>
          <w:rFonts w:hint="eastAsia"/>
        </w:rPr>
        <w:t xml:space="preserve">　　（二）注册申报资料虚假的；</w:t>
      </w:r>
    </w:p>
    <w:p w:rsidR="0054137C" w:rsidRDefault="0054137C" w:rsidP="0054137C">
      <w:pPr>
        <w:rPr>
          <w:rFonts w:hint="eastAsia"/>
        </w:rPr>
      </w:pPr>
      <w:r>
        <w:rPr>
          <w:rFonts w:hint="eastAsia"/>
        </w:rPr>
        <w:t xml:space="preserve">　　（三）注册申报资料内容混乱、矛盾的；</w:t>
      </w:r>
    </w:p>
    <w:p w:rsidR="0054137C" w:rsidRDefault="0054137C" w:rsidP="0054137C">
      <w:pPr>
        <w:rPr>
          <w:rFonts w:hint="eastAsia"/>
        </w:rPr>
      </w:pPr>
      <w:r>
        <w:rPr>
          <w:rFonts w:hint="eastAsia"/>
        </w:rPr>
        <w:t xml:space="preserve">　　（四）注册申报资料的内容与申报项目明显不符的；</w:t>
      </w:r>
      <w:r>
        <w:rPr>
          <w:rFonts w:hint="eastAsia"/>
        </w:rPr>
        <w:t xml:space="preserve"> </w:t>
      </w:r>
    </w:p>
    <w:p w:rsidR="0054137C" w:rsidRDefault="0054137C" w:rsidP="0054137C">
      <w:pPr>
        <w:rPr>
          <w:rFonts w:hint="eastAsia"/>
        </w:rPr>
      </w:pPr>
      <w:r>
        <w:rPr>
          <w:rFonts w:hint="eastAsia"/>
        </w:rPr>
        <w:t xml:space="preserve">　　（五）不予注册的其他情形。</w:t>
      </w:r>
    </w:p>
    <w:p w:rsidR="0054137C" w:rsidRDefault="0054137C" w:rsidP="0054137C"/>
    <w:p w:rsidR="0054137C" w:rsidRDefault="0054137C" w:rsidP="0054137C">
      <w:pPr>
        <w:rPr>
          <w:rFonts w:hint="eastAsia"/>
        </w:rPr>
      </w:pPr>
      <w:r>
        <w:rPr>
          <w:rFonts w:hint="eastAsia"/>
        </w:rPr>
        <w:t xml:space="preserve">　　第四十条　对于已受理的注册申请，申请人可以在行政许可决定</w:t>
      </w:r>
      <w:proofErr w:type="gramStart"/>
      <w:r>
        <w:rPr>
          <w:rFonts w:hint="eastAsia"/>
        </w:rPr>
        <w:t>作出</w:t>
      </w:r>
      <w:proofErr w:type="gramEnd"/>
      <w:r>
        <w:rPr>
          <w:rFonts w:hint="eastAsia"/>
        </w:rPr>
        <w:t>前，向受理该申请的食品药品监督管理部门申请撤回注册申请及相关资料，并说明理由。</w:t>
      </w:r>
    </w:p>
    <w:p w:rsidR="0054137C" w:rsidRDefault="0054137C" w:rsidP="0054137C"/>
    <w:p w:rsidR="0054137C" w:rsidRDefault="0054137C" w:rsidP="0054137C">
      <w:pPr>
        <w:rPr>
          <w:rFonts w:hint="eastAsia"/>
        </w:rPr>
      </w:pPr>
      <w:r>
        <w:rPr>
          <w:rFonts w:hint="eastAsia"/>
        </w:rPr>
        <w:lastRenderedPageBreak/>
        <w:t xml:space="preserve">　　第四十一条　对于已受理的注册申请，有证据表明注册申报资料可能虚假的，食品药品监督管理部门可以中止审批。经核实后，根据核实结论继续审查或者</w:t>
      </w:r>
      <w:proofErr w:type="gramStart"/>
      <w:r>
        <w:rPr>
          <w:rFonts w:hint="eastAsia"/>
        </w:rPr>
        <w:t>作出</w:t>
      </w:r>
      <w:proofErr w:type="gramEnd"/>
      <w:r>
        <w:rPr>
          <w:rFonts w:hint="eastAsia"/>
        </w:rPr>
        <w:t>不予注册的决定。</w:t>
      </w:r>
    </w:p>
    <w:p w:rsidR="0054137C" w:rsidRDefault="0054137C" w:rsidP="0054137C"/>
    <w:p w:rsidR="0054137C" w:rsidRDefault="0054137C" w:rsidP="0054137C">
      <w:pPr>
        <w:rPr>
          <w:rFonts w:hint="eastAsia"/>
        </w:rPr>
      </w:pPr>
      <w:r>
        <w:rPr>
          <w:rFonts w:hint="eastAsia"/>
        </w:rPr>
        <w:t xml:space="preserve">　　第四十二条　申请人对食品药品监督管理部门</w:t>
      </w:r>
      <w:proofErr w:type="gramStart"/>
      <w:r>
        <w:rPr>
          <w:rFonts w:hint="eastAsia"/>
        </w:rPr>
        <w:t>作出</w:t>
      </w:r>
      <w:proofErr w:type="gramEnd"/>
      <w:r>
        <w:rPr>
          <w:rFonts w:hint="eastAsia"/>
        </w:rPr>
        <w:t>的不予注册决定有异议的，可以自收到不予注册决定通知之日起</w:t>
      </w:r>
      <w:r>
        <w:rPr>
          <w:rFonts w:hint="eastAsia"/>
        </w:rPr>
        <w:t>20</w:t>
      </w:r>
      <w:r>
        <w:rPr>
          <w:rFonts w:hint="eastAsia"/>
        </w:rPr>
        <w:t>个工作日内，向</w:t>
      </w:r>
      <w:proofErr w:type="gramStart"/>
      <w:r>
        <w:rPr>
          <w:rFonts w:hint="eastAsia"/>
        </w:rPr>
        <w:t>作出</w:t>
      </w:r>
      <w:proofErr w:type="gramEnd"/>
      <w:r>
        <w:rPr>
          <w:rFonts w:hint="eastAsia"/>
        </w:rPr>
        <w:t>审批决定的食品药品监督管理部门提出复审申请。复审申请的内容仅限于原申请事项和原申报资料。</w:t>
      </w:r>
    </w:p>
    <w:p w:rsidR="0054137C" w:rsidRDefault="0054137C" w:rsidP="0054137C"/>
    <w:p w:rsidR="0054137C" w:rsidRDefault="0054137C" w:rsidP="0054137C">
      <w:pPr>
        <w:rPr>
          <w:rFonts w:hint="eastAsia"/>
        </w:rPr>
      </w:pPr>
      <w:r>
        <w:rPr>
          <w:rFonts w:hint="eastAsia"/>
        </w:rPr>
        <w:t xml:space="preserve">　　第四十三条　食品药品监督管理部门应当自受理复审申请之日起</w:t>
      </w:r>
      <w:r>
        <w:rPr>
          <w:rFonts w:hint="eastAsia"/>
        </w:rPr>
        <w:t>30</w:t>
      </w:r>
      <w:r>
        <w:rPr>
          <w:rFonts w:hint="eastAsia"/>
        </w:rPr>
        <w:t>个工作日内</w:t>
      </w:r>
      <w:proofErr w:type="gramStart"/>
      <w:r>
        <w:rPr>
          <w:rFonts w:hint="eastAsia"/>
        </w:rPr>
        <w:t>作出</w:t>
      </w:r>
      <w:proofErr w:type="gramEnd"/>
      <w:r>
        <w:rPr>
          <w:rFonts w:hint="eastAsia"/>
        </w:rPr>
        <w:t>复审决定，并书面通知申请人。维持原决定的，食品药品监督管理部门不再受理申请人再次提出的复审申请。</w:t>
      </w:r>
    </w:p>
    <w:p w:rsidR="0054137C" w:rsidRDefault="0054137C" w:rsidP="0054137C"/>
    <w:p w:rsidR="0054137C" w:rsidRDefault="0054137C" w:rsidP="0054137C">
      <w:pPr>
        <w:rPr>
          <w:rFonts w:hint="eastAsia"/>
        </w:rPr>
      </w:pPr>
      <w:r>
        <w:rPr>
          <w:rFonts w:hint="eastAsia"/>
        </w:rPr>
        <w:t xml:space="preserve">　　第四十四条　申请人对食品药品监督管理部门</w:t>
      </w:r>
      <w:proofErr w:type="gramStart"/>
      <w:r>
        <w:rPr>
          <w:rFonts w:hint="eastAsia"/>
        </w:rPr>
        <w:t>作出</w:t>
      </w:r>
      <w:proofErr w:type="gramEnd"/>
      <w:r>
        <w:rPr>
          <w:rFonts w:hint="eastAsia"/>
        </w:rPr>
        <w:t>的不予注册的决定有异议，且已申请行政复议或者提起行政诉讼的，食品药品监督管理部门不受理其复审申请。</w:t>
      </w:r>
    </w:p>
    <w:p w:rsidR="0054137C" w:rsidRDefault="0054137C" w:rsidP="0054137C"/>
    <w:p w:rsidR="0054137C" w:rsidRDefault="0054137C" w:rsidP="0054137C">
      <w:pPr>
        <w:rPr>
          <w:rFonts w:hint="eastAsia"/>
        </w:rPr>
      </w:pPr>
      <w:r>
        <w:rPr>
          <w:rFonts w:hint="eastAsia"/>
        </w:rPr>
        <w:t xml:space="preserve">　　第四十五条　医疗器械注册证遗失的，注册人应当立即在原发证机关指定的媒体上登载遗失声明。自登载遗失声明之日起满</w:t>
      </w:r>
      <w:r>
        <w:rPr>
          <w:rFonts w:hint="eastAsia"/>
        </w:rPr>
        <w:t>1</w:t>
      </w:r>
      <w:r>
        <w:rPr>
          <w:rFonts w:hint="eastAsia"/>
        </w:rPr>
        <w:t>个月后，向原发证机关申请补发，原发证机关在</w:t>
      </w:r>
      <w:r>
        <w:rPr>
          <w:rFonts w:hint="eastAsia"/>
        </w:rPr>
        <w:t>20</w:t>
      </w:r>
      <w:r>
        <w:rPr>
          <w:rFonts w:hint="eastAsia"/>
        </w:rPr>
        <w:t>个工作日内予以补发。</w:t>
      </w:r>
    </w:p>
    <w:p w:rsidR="0054137C" w:rsidRDefault="0054137C" w:rsidP="0054137C"/>
    <w:p w:rsidR="0054137C" w:rsidRDefault="0054137C" w:rsidP="0054137C">
      <w:pPr>
        <w:rPr>
          <w:rFonts w:hint="eastAsia"/>
        </w:rPr>
      </w:pPr>
      <w:r>
        <w:rPr>
          <w:rFonts w:hint="eastAsia"/>
        </w:rPr>
        <w:t xml:space="preserve">　　第四十六条　医疗器械注册申请直接涉及申请人与他人之间重大利益关系的，食品药品监督管理部门应当告知申请人、利害关系人可以依照法律、法规以及国家食品药品监督管理总局的其他规定享有申请听证的权利；对医疗器械注册申请进行审查时，食品药品监督管理部门认为属于涉及公共利益的重大许可事项，应当向社会公告，并举行听证。</w:t>
      </w:r>
    </w:p>
    <w:p w:rsidR="0054137C" w:rsidRDefault="0054137C" w:rsidP="0054137C"/>
    <w:p w:rsidR="0054137C" w:rsidRDefault="0054137C" w:rsidP="0054137C">
      <w:pPr>
        <w:rPr>
          <w:rFonts w:hint="eastAsia"/>
        </w:rPr>
      </w:pPr>
      <w:r>
        <w:rPr>
          <w:rFonts w:hint="eastAsia"/>
        </w:rPr>
        <w:t xml:space="preserve">　　第四十七条　对新研制的尚未列入分类目录的医疗器械，申请人可以直接申请第三类医疗器械产品注册，也可以依据分类规则判断产品类别并向国家食品药品监督管理总局申请类别确认后，申请产品注册或者办理产品备案。</w:t>
      </w:r>
    </w:p>
    <w:p w:rsidR="0054137C" w:rsidRDefault="0054137C" w:rsidP="0054137C">
      <w:pPr>
        <w:rPr>
          <w:rFonts w:hint="eastAsia"/>
        </w:rPr>
      </w:pPr>
      <w:r>
        <w:rPr>
          <w:rFonts w:hint="eastAsia"/>
        </w:rPr>
        <w:t xml:space="preserve">　　直接申请第三类医疗器械注册的，国家食品药品监督管理总局按照风险程度确定类别。境内医疗器械确定为第二类的，国家食品药品监督管理总局将申报资料转申请人所在地省、自治区、直辖市食品药品监督管理部门审评审批；境内医疗器械确定为第一类的，国家食品药品监督管理总局将申报资料转申请人所在地设区的市级食品药品监督管理部门备案。</w:t>
      </w:r>
      <w:r>
        <w:rPr>
          <w:rFonts w:hint="eastAsia"/>
        </w:rPr>
        <w:t xml:space="preserve"> </w:t>
      </w:r>
    </w:p>
    <w:p w:rsidR="0054137C" w:rsidRDefault="0054137C" w:rsidP="0054137C"/>
    <w:p w:rsidR="0054137C" w:rsidRDefault="0054137C" w:rsidP="0054137C">
      <w:pPr>
        <w:rPr>
          <w:rFonts w:hint="eastAsia"/>
        </w:rPr>
      </w:pPr>
      <w:r>
        <w:rPr>
          <w:rFonts w:hint="eastAsia"/>
        </w:rPr>
        <w:t xml:space="preserve">　　第四十八条　注册申请审查过程中及批准后发生专利权纠纷的，应当按照有关法律、法规的规定处理。</w:t>
      </w:r>
    </w:p>
    <w:p w:rsidR="0054137C" w:rsidRDefault="0054137C" w:rsidP="0054137C"/>
    <w:p w:rsidR="0054137C" w:rsidRPr="00530AA9" w:rsidRDefault="0054137C" w:rsidP="00530AA9">
      <w:pPr>
        <w:widowControl/>
        <w:wordWrap w:val="0"/>
        <w:spacing w:before="100" w:beforeAutospacing="1" w:after="100" w:afterAutospacing="1" w:line="480" w:lineRule="auto"/>
        <w:jc w:val="center"/>
        <w:rPr>
          <w:rFonts w:ascii="ˎ̥" w:eastAsia="宋体" w:hAnsi="ˎ̥" w:cs="Arial" w:hint="eastAsia"/>
          <w:b/>
          <w:color w:val="000000"/>
          <w:kern w:val="0"/>
          <w:szCs w:val="21"/>
        </w:rPr>
      </w:pPr>
      <w:r w:rsidRPr="00530AA9">
        <w:rPr>
          <w:rFonts w:ascii="ˎ̥" w:eastAsia="宋体" w:hAnsi="ˎ̥" w:cs="Arial" w:hint="eastAsia"/>
          <w:b/>
          <w:color w:val="000000"/>
          <w:kern w:val="0"/>
          <w:szCs w:val="21"/>
        </w:rPr>
        <w:t>第六章　注册变更</w:t>
      </w:r>
    </w:p>
    <w:p w:rsidR="0054137C" w:rsidRDefault="0054137C" w:rsidP="0054137C"/>
    <w:p w:rsidR="0054137C" w:rsidRDefault="0054137C" w:rsidP="0054137C">
      <w:pPr>
        <w:rPr>
          <w:rFonts w:hint="eastAsia"/>
        </w:rPr>
      </w:pPr>
      <w:r>
        <w:rPr>
          <w:rFonts w:hint="eastAsia"/>
        </w:rPr>
        <w:t xml:space="preserve">　　第四十九条　已注册的第二类、第三类医疗器械，医疗器械注册证及其附件载明的内容发生变化，注册人应当向原注册部门申请注册变更，并按照相关要求提交申报资料。</w:t>
      </w:r>
    </w:p>
    <w:p w:rsidR="0054137C" w:rsidRDefault="0054137C" w:rsidP="0054137C">
      <w:pPr>
        <w:rPr>
          <w:rFonts w:hint="eastAsia"/>
        </w:rPr>
      </w:pPr>
      <w:r>
        <w:rPr>
          <w:rFonts w:hint="eastAsia"/>
        </w:rPr>
        <w:t xml:space="preserve">　　产品名称、型号、规格、结构及组成、适用范围、产品技术要求、进口医疗器械生产地址等发生变化的，注册人应当向原注册部门申请许可事项变更。</w:t>
      </w:r>
    </w:p>
    <w:p w:rsidR="0054137C" w:rsidRDefault="0054137C" w:rsidP="0054137C">
      <w:pPr>
        <w:rPr>
          <w:rFonts w:hint="eastAsia"/>
        </w:rPr>
      </w:pPr>
      <w:r>
        <w:rPr>
          <w:rFonts w:hint="eastAsia"/>
        </w:rPr>
        <w:t xml:space="preserve">　　注册人名称和住所、代理人名称和住所发生变化的，注册人应当向原注册部门申请登记事项变更；境内医疗器械生产地址变更的，注册人应当在相应的生产许可变更后办理注册登</w:t>
      </w:r>
      <w:r>
        <w:rPr>
          <w:rFonts w:hint="eastAsia"/>
        </w:rPr>
        <w:lastRenderedPageBreak/>
        <w:t>记事项变更。</w:t>
      </w:r>
    </w:p>
    <w:p w:rsidR="0054137C" w:rsidRDefault="0054137C" w:rsidP="0054137C"/>
    <w:p w:rsidR="0054137C" w:rsidRDefault="0054137C" w:rsidP="0054137C">
      <w:pPr>
        <w:rPr>
          <w:rFonts w:hint="eastAsia"/>
        </w:rPr>
      </w:pPr>
      <w:r>
        <w:rPr>
          <w:rFonts w:hint="eastAsia"/>
        </w:rPr>
        <w:t xml:space="preserve">　　第五十条　登记事项变更资料符合要求的，食品药品监督管理部门应当在</w:t>
      </w:r>
      <w:r>
        <w:rPr>
          <w:rFonts w:hint="eastAsia"/>
        </w:rPr>
        <w:t>10</w:t>
      </w:r>
      <w:r>
        <w:rPr>
          <w:rFonts w:hint="eastAsia"/>
        </w:rPr>
        <w:t>个工作日内发给医疗器械注册变更文件。登记事项变更资料不齐全或者不符合形式审查要求的，食品药品监督管理部门应当一次告知需要补正的全部内容。</w:t>
      </w:r>
    </w:p>
    <w:p w:rsidR="0054137C" w:rsidRDefault="0054137C" w:rsidP="0054137C"/>
    <w:p w:rsidR="0054137C" w:rsidRDefault="0054137C" w:rsidP="0054137C">
      <w:pPr>
        <w:rPr>
          <w:rFonts w:hint="eastAsia"/>
        </w:rPr>
      </w:pPr>
      <w:r>
        <w:rPr>
          <w:rFonts w:hint="eastAsia"/>
        </w:rPr>
        <w:t xml:space="preserve">　　第五十一条　对于许可事项变更，技术审评机构应当重点针对变化部分进行审评，对变化后产品是否安全、有效</w:t>
      </w:r>
      <w:proofErr w:type="gramStart"/>
      <w:r>
        <w:rPr>
          <w:rFonts w:hint="eastAsia"/>
        </w:rPr>
        <w:t>作出</w:t>
      </w:r>
      <w:proofErr w:type="gramEnd"/>
      <w:r>
        <w:rPr>
          <w:rFonts w:hint="eastAsia"/>
        </w:rPr>
        <w:t>评价。</w:t>
      </w:r>
    </w:p>
    <w:p w:rsidR="0054137C" w:rsidRDefault="0054137C" w:rsidP="0054137C">
      <w:pPr>
        <w:rPr>
          <w:rFonts w:hint="eastAsia"/>
        </w:rPr>
      </w:pPr>
      <w:r>
        <w:rPr>
          <w:rFonts w:hint="eastAsia"/>
        </w:rPr>
        <w:t xml:space="preserve">　　受理许可事项变更申请的食品药品监督管理部门应当按照本办法第五章规定的时限组织技术审评。</w:t>
      </w:r>
    </w:p>
    <w:p w:rsidR="0054137C" w:rsidRDefault="0054137C" w:rsidP="0054137C"/>
    <w:p w:rsidR="0054137C" w:rsidRDefault="0054137C" w:rsidP="0054137C">
      <w:pPr>
        <w:rPr>
          <w:rFonts w:hint="eastAsia"/>
        </w:rPr>
      </w:pPr>
      <w:r>
        <w:rPr>
          <w:rFonts w:hint="eastAsia"/>
        </w:rPr>
        <w:t xml:space="preserve">　　第五十二条　医疗器械注册变更文件与原医疗器械注册证合并使用，其有效期与该注册证相同。取得注册变更文件后，注册人应当根据变更内容自行修改产品技术要求、说明书和标签。</w:t>
      </w:r>
    </w:p>
    <w:p w:rsidR="0054137C" w:rsidRDefault="0054137C" w:rsidP="0054137C"/>
    <w:p w:rsidR="0054137C" w:rsidRDefault="0054137C" w:rsidP="0054137C">
      <w:pPr>
        <w:rPr>
          <w:rFonts w:hint="eastAsia"/>
        </w:rPr>
      </w:pPr>
      <w:r>
        <w:rPr>
          <w:rFonts w:hint="eastAsia"/>
        </w:rPr>
        <w:t xml:space="preserve">　　第五十三条　许可事项变更申请的受理与审批程序，本章未作规定的，适用本办法第五章的相关规定。</w:t>
      </w:r>
    </w:p>
    <w:p w:rsidR="0054137C" w:rsidRDefault="0054137C" w:rsidP="0054137C"/>
    <w:p w:rsidR="0054137C" w:rsidRPr="0054137C" w:rsidRDefault="0054137C" w:rsidP="0054137C">
      <w:pPr>
        <w:widowControl/>
        <w:wordWrap w:val="0"/>
        <w:spacing w:before="100" w:beforeAutospacing="1" w:after="100" w:afterAutospacing="1" w:line="480" w:lineRule="auto"/>
        <w:jc w:val="center"/>
        <w:rPr>
          <w:rFonts w:ascii="ˎ̥" w:eastAsia="宋体" w:hAnsi="ˎ̥" w:cs="Arial"/>
          <w:b/>
          <w:color w:val="000000"/>
          <w:kern w:val="0"/>
          <w:szCs w:val="21"/>
        </w:rPr>
      </w:pPr>
      <w:r w:rsidRPr="0054137C">
        <w:rPr>
          <w:rFonts w:ascii="ˎ̥" w:eastAsia="宋体" w:hAnsi="ˎ̥" w:cs="Arial"/>
          <w:b/>
          <w:color w:val="000000"/>
          <w:kern w:val="0"/>
          <w:szCs w:val="21"/>
        </w:rPr>
        <w:t>第七章　延续注册</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第五十四条　医疗器械注册证有效期届满需要延续注册的，注册人应当在医疗器械注册证有效期届满</w:t>
      </w:r>
      <w:r w:rsidRPr="0054137C">
        <w:rPr>
          <w:rFonts w:ascii="ˎ̥" w:eastAsia="宋体" w:hAnsi="ˎ̥" w:cs="Arial"/>
          <w:color w:val="000000"/>
          <w:kern w:val="0"/>
          <w:szCs w:val="21"/>
        </w:rPr>
        <w:t>6</w:t>
      </w:r>
      <w:r w:rsidRPr="0054137C">
        <w:rPr>
          <w:rFonts w:ascii="ˎ̥" w:eastAsia="宋体" w:hAnsi="ˎ̥" w:cs="Arial"/>
          <w:color w:val="000000"/>
          <w:kern w:val="0"/>
          <w:szCs w:val="21"/>
        </w:rPr>
        <w:t>个月前，向食品药品监督管理部门申请延续注册，并按照相关要求提交申报资料。</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除有本办法第五十五条规定情形外，接到延续注册申请的食品药品监督管理部门应当在医疗器械注册证有效期届满前作出准予延续的决定。逾期未作决定的，视为准予延续。</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第五十五条　有下列情形之一的，不予延续注册：</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（一）注册人未在规定期限内提出延续注册申请的；</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（二）医疗器械强制性标准已经修订，该医疗器械不能达到新要求的；</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（三）对用于治疗罕见疾病以及应对突发公共卫生事件急需的医疗器械，批准注册部门在批准上市时提出要求，注册人未在规定期限内完成医疗器械注册证载明事项的。</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lastRenderedPageBreak/>
        <w:t xml:space="preserve">　　第五十六条　医疗器械延续注册申请的受理与审批程序，本章未作规定的，适用本办法第五章的相关规定。</w:t>
      </w:r>
    </w:p>
    <w:p w:rsidR="0054137C" w:rsidRPr="0054137C" w:rsidRDefault="0054137C" w:rsidP="0054137C">
      <w:pPr>
        <w:widowControl/>
        <w:wordWrap w:val="0"/>
        <w:spacing w:before="100" w:beforeAutospacing="1" w:after="100" w:afterAutospacing="1" w:line="480" w:lineRule="auto"/>
        <w:jc w:val="center"/>
        <w:rPr>
          <w:rFonts w:ascii="ˎ̥" w:eastAsia="宋体" w:hAnsi="ˎ̥" w:cs="Arial"/>
          <w:b/>
          <w:color w:val="000000"/>
          <w:kern w:val="0"/>
          <w:szCs w:val="21"/>
        </w:rPr>
      </w:pPr>
      <w:r w:rsidRPr="0054137C">
        <w:rPr>
          <w:rFonts w:ascii="ˎ̥" w:eastAsia="宋体" w:hAnsi="ˎ̥" w:cs="Arial"/>
          <w:b/>
          <w:color w:val="000000"/>
          <w:kern w:val="0"/>
          <w:szCs w:val="21"/>
        </w:rPr>
        <w:t>第八章　产品备案</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第五十七条　第一类医疗器械生产前，应当办理产品备案。</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第五十八条　办理医疗器械备案，备案人应当按照《医疗器械监督管理条例》第九条的规定提交备案资料。</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备案资料符合要求的，食品药品监督管理部门应当当场备案；备案资料不齐全或者不符合规定形式的，应当一次告知需要补正的全部内容，由备案人补正后备案。</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对备案的医疗器械，食品药品监督管理部门应当按照相关要求的格式制作备案凭证，并将备案信息表中登载的信息在其网站上予以公布。</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第五十九条　已备案的医疗器械，备案信息表中登载内容及备案的产品技术要求发生变化的，备案人应当提交变化情况的说明及相关证明文件，向原备案部门提出变更备案信息。备案资料符合形式要求的，食品药品监督管理部门应当将变更情况登载于变更信息中，将备案资料存档。</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第六十条　已备案的医疗器械管理类别调整的，备案人应当主动向食品药品监督管理部门提出取消原备案；管理类别调整为第二类或者第三类医疗器械的，按照本办法规定申请注册。</w:t>
      </w:r>
    </w:p>
    <w:p w:rsidR="0054137C" w:rsidRPr="0054137C" w:rsidRDefault="0054137C" w:rsidP="0054137C">
      <w:pPr>
        <w:widowControl/>
        <w:wordWrap w:val="0"/>
        <w:spacing w:before="100" w:beforeAutospacing="1" w:after="100" w:afterAutospacing="1" w:line="480" w:lineRule="auto"/>
        <w:jc w:val="center"/>
        <w:rPr>
          <w:rFonts w:ascii="ˎ̥" w:eastAsia="宋体" w:hAnsi="ˎ̥" w:cs="Arial"/>
          <w:b/>
          <w:color w:val="000000"/>
          <w:kern w:val="0"/>
          <w:szCs w:val="21"/>
        </w:rPr>
      </w:pPr>
      <w:r w:rsidRPr="0054137C">
        <w:rPr>
          <w:rFonts w:ascii="ˎ̥" w:eastAsia="宋体" w:hAnsi="ˎ̥" w:cs="Arial"/>
          <w:b/>
          <w:color w:val="000000"/>
          <w:kern w:val="0"/>
          <w:szCs w:val="21"/>
        </w:rPr>
        <w:t>第九章　监督管理</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lastRenderedPageBreak/>
        <w:t xml:space="preserve">　　第六十一条　国家食品药品监督管理总局负责全国医疗器械注册与备案的监督管理工作，对地方食品药品监督管理部门医疗器械注册与备案工作进行监督和指导。</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第六十二条　省、自治区、直辖市食品药品监督管理部门负责本行政区域的医疗器械注册与备案的监督管理工作，组织开展监督检查，并将有关情况及时报送国家食品药品监督管理总局。</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第六十三条　省、自治区、直辖市食品药品监督管理部门按照属地管理原则，对进口医疗器械代理人注册与备案相关工作实施日常监督管理。</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第六十四条　设区的市级食品药品监督管理部门应当定期对备案工作开展检查，并及时向省、自治区、直辖市食品药品监督管理部门报送相关信息。</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第六十五条　已注册的医疗器械有法律、法规规定应当注销的情形，或者注册证有效期未满但注册人主动提出注销的，食品药品监督管理部门应当依法注销，并向社会公布。</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第六十六条　已注册的医疗器械，其管理类别由高类别调整为低类别的，在有效期内的医疗器械注册证继续有效。如需延续的，注册人应当在医疗器械注册证有效期届满</w:t>
      </w:r>
      <w:r w:rsidRPr="0054137C">
        <w:rPr>
          <w:rFonts w:ascii="ˎ̥" w:eastAsia="宋体" w:hAnsi="ˎ̥" w:cs="Arial"/>
          <w:color w:val="000000"/>
          <w:kern w:val="0"/>
          <w:szCs w:val="21"/>
        </w:rPr>
        <w:t>6</w:t>
      </w:r>
      <w:r w:rsidRPr="0054137C">
        <w:rPr>
          <w:rFonts w:ascii="ˎ̥" w:eastAsia="宋体" w:hAnsi="ˎ̥" w:cs="Arial"/>
          <w:color w:val="000000"/>
          <w:kern w:val="0"/>
          <w:szCs w:val="21"/>
        </w:rPr>
        <w:t>个月前，按照改变后的类别向食品药品监督管理部门申请延续注册或者办理备案。</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医疗器械管理类别由低类别调整为高类别的，注册人应当依照本办法第五章的规定，按照改变后的类别向食品药品监督管理部门申请注册。国家食品药品监督管理总局在管理类别调整通知中应当对完成调整的时限</w:t>
      </w:r>
      <w:proofErr w:type="gramStart"/>
      <w:r w:rsidRPr="0054137C">
        <w:rPr>
          <w:rFonts w:ascii="ˎ̥" w:eastAsia="宋体" w:hAnsi="ˎ̥" w:cs="Arial"/>
          <w:color w:val="000000"/>
          <w:kern w:val="0"/>
          <w:szCs w:val="21"/>
        </w:rPr>
        <w:t>作出</w:t>
      </w:r>
      <w:proofErr w:type="gramEnd"/>
      <w:r w:rsidRPr="0054137C">
        <w:rPr>
          <w:rFonts w:ascii="ˎ̥" w:eastAsia="宋体" w:hAnsi="ˎ̥" w:cs="Arial"/>
          <w:color w:val="000000"/>
          <w:kern w:val="0"/>
          <w:szCs w:val="21"/>
        </w:rPr>
        <w:t>规定。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lastRenderedPageBreak/>
        <w:t xml:space="preserve">　　第六十七条　省、自治区、直辖市食品药品监督管理部门违反本办法规定实施医疗器械注册的，由国家食品药品监督管理总局责令限期改正；逾期不改正的，国家食品药品监督管理总局可以直接公告撤销该医疗器械注册证。</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第六十八条　食品药品监督管理部门、相关技术机构及其工作人员，对申请人或者备案人提交的试验数据和技术秘密负有保密义务。</w:t>
      </w:r>
    </w:p>
    <w:p w:rsidR="0054137C" w:rsidRPr="0054137C" w:rsidRDefault="0054137C" w:rsidP="0054137C">
      <w:pPr>
        <w:widowControl/>
        <w:wordWrap w:val="0"/>
        <w:spacing w:before="100" w:beforeAutospacing="1" w:after="100" w:afterAutospacing="1" w:line="480" w:lineRule="auto"/>
        <w:jc w:val="center"/>
        <w:rPr>
          <w:rFonts w:ascii="ˎ̥" w:eastAsia="宋体" w:hAnsi="ˎ̥" w:cs="Arial"/>
          <w:b/>
          <w:color w:val="000000"/>
          <w:kern w:val="0"/>
          <w:szCs w:val="21"/>
        </w:rPr>
      </w:pPr>
      <w:r w:rsidRPr="0054137C">
        <w:rPr>
          <w:rFonts w:ascii="ˎ̥" w:eastAsia="宋体" w:hAnsi="ˎ̥" w:cs="Arial"/>
          <w:b/>
          <w:color w:val="000000"/>
          <w:kern w:val="0"/>
          <w:szCs w:val="21"/>
        </w:rPr>
        <w:t>第十章　法律责任</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第六十九条　提供虚假资料或者采取其他欺骗手段取得医疗器械注册证的，按照《医疗器械监督管理条例》第六十四条第一款的规定予以处罚。</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备案时提供虚假资料的，按照《医疗器械监督管理条例》第六十五条第二款的规定予以处罚。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第七十条　伪造、变造、买卖、出租、出借医疗器械注册证的，按照《医疗器械监督管理条例》第六十四条第二款的规定予以处罚。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第七十一条　违反本办法规定，未依法办理第一类医疗器械变更备案或者第二类、第三类医疗器械注册登记事项变更的，按照《医疗器械监督管理条例》有关未备案的情形予以处罚。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第七十二条　违反本办法规定，未依法办理医疗器械注册许可事项变更的，按照《医疗器械监督管理条例》有关未取得医疗器械注册证的情形予以处罚。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lastRenderedPageBreak/>
        <w:t xml:space="preserve">　　第七十三条　申请人未按照《医疗器械监督管理条例》和本办法规定开展临床试验的，由县级以上食品药品监督管理部门责令改正，可以处</w:t>
      </w:r>
      <w:r w:rsidRPr="0054137C">
        <w:rPr>
          <w:rFonts w:ascii="ˎ̥" w:eastAsia="宋体" w:hAnsi="ˎ̥" w:cs="Arial"/>
          <w:color w:val="000000"/>
          <w:kern w:val="0"/>
          <w:szCs w:val="21"/>
        </w:rPr>
        <w:t>3</w:t>
      </w:r>
      <w:r w:rsidRPr="0054137C">
        <w:rPr>
          <w:rFonts w:ascii="ˎ̥" w:eastAsia="宋体" w:hAnsi="ˎ̥" w:cs="Arial"/>
          <w:color w:val="000000"/>
          <w:kern w:val="0"/>
          <w:szCs w:val="21"/>
        </w:rPr>
        <w:t>万元以下罚款；情节严重的，应当立即停止临床试验，已取得临床试验批准文件的，予以注销。</w:t>
      </w:r>
    </w:p>
    <w:p w:rsidR="0054137C" w:rsidRPr="0054137C" w:rsidRDefault="0054137C" w:rsidP="0054137C">
      <w:pPr>
        <w:widowControl/>
        <w:wordWrap w:val="0"/>
        <w:spacing w:before="100" w:beforeAutospacing="1" w:after="100" w:afterAutospacing="1" w:line="480" w:lineRule="auto"/>
        <w:jc w:val="center"/>
        <w:rPr>
          <w:rFonts w:ascii="ˎ̥" w:eastAsia="宋体" w:hAnsi="ˎ̥" w:cs="Arial"/>
          <w:b/>
          <w:color w:val="000000"/>
          <w:kern w:val="0"/>
          <w:szCs w:val="21"/>
        </w:rPr>
      </w:pPr>
      <w:r w:rsidRPr="0054137C">
        <w:rPr>
          <w:rFonts w:ascii="ˎ̥" w:eastAsia="宋体" w:hAnsi="ˎ̥" w:cs="Arial"/>
          <w:b/>
          <w:color w:val="000000"/>
          <w:kern w:val="0"/>
          <w:szCs w:val="21"/>
        </w:rPr>
        <w:t>第十一章　附　则</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第七十四条　医疗器械注册或者备案单元原则上以产品的技术原理、结构组成、性能指标和适用范围为划分依据。</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第七十五条　医疗器械注册证中</w:t>
      </w:r>
      <w:r w:rsidRPr="0054137C">
        <w:rPr>
          <w:rFonts w:ascii="ˎ̥" w:eastAsia="宋体" w:hAnsi="ˎ̥" w:cs="Arial"/>
          <w:color w:val="000000"/>
          <w:kern w:val="0"/>
          <w:szCs w:val="21"/>
        </w:rPr>
        <w:t>“</w:t>
      </w:r>
      <w:r w:rsidRPr="0054137C">
        <w:rPr>
          <w:rFonts w:ascii="ˎ̥" w:eastAsia="宋体" w:hAnsi="ˎ̥" w:cs="Arial"/>
          <w:color w:val="000000"/>
          <w:kern w:val="0"/>
          <w:szCs w:val="21"/>
        </w:rPr>
        <w:t>结构及组成</w:t>
      </w:r>
      <w:r w:rsidRPr="0054137C">
        <w:rPr>
          <w:rFonts w:ascii="ˎ̥" w:eastAsia="宋体" w:hAnsi="ˎ̥" w:cs="Arial"/>
          <w:color w:val="000000"/>
          <w:kern w:val="0"/>
          <w:szCs w:val="21"/>
        </w:rPr>
        <w:t>”</w:t>
      </w:r>
      <w:r w:rsidRPr="0054137C">
        <w:rPr>
          <w:rFonts w:ascii="ˎ̥" w:eastAsia="宋体" w:hAnsi="ˎ̥" w:cs="Arial"/>
          <w:color w:val="000000"/>
          <w:kern w:val="0"/>
          <w:szCs w:val="21"/>
        </w:rPr>
        <w:t>栏内所载明的组合部件，以更换耗材、售后服务、维修等为目的，用于原注册产品的，可以单独销售。</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第七十六条　医疗器械注册证格式由国家食品药品监督管理总局统一制定。</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注册证编号的编排方式为：</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×1</w:t>
      </w:r>
      <w:proofErr w:type="gramStart"/>
      <w:r w:rsidRPr="0054137C">
        <w:rPr>
          <w:rFonts w:ascii="ˎ̥" w:eastAsia="宋体" w:hAnsi="ˎ̥" w:cs="Arial"/>
          <w:color w:val="000000"/>
          <w:kern w:val="0"/>
          <w:szCs w:val="21"/>
        </w:rPr>
        <w:t>械注</w:t>
      </w:r>
      <w:proofErr w:type="gramEnd"/>
      <w:r w:rsidRPr="0054137C">
        <w:rPr>
          <w:rFonts w:ascii="ˎ̥" w:eastAsia="宋体" w:hAnsi="ˎ̥" w:cs="Arial"/>
          <w:color w:val="000000"/>
          <w:kern w:val="0"/>
          <w:szCs w:val="21"/>
        </w:rPr>
        <w:t>×2××××3×4××5××××6</w:t>
      </w:r>
      <w:r w:rsidRPr="0054137C">
        <w:rPr>
          <w:rFonts w:ascii="ˎ̥" w:eastAsia="宋体" w:hAnsi="ˎ̥" w:cs="Arial"/>
          <w:color w:val="000000"/>
          <w:kern w:val="0"/>
          <w:szCs w:val="21"/>
        </w:rPr>
        <w:t>。其中：</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×1</w:t>
      </w:r>
      <w:r w:rsidRPr="0054137C">
        <w:rPr>
          <w:rFonts w:ascii="ˎ̥" w:eastAsia="宋体" w:hAnsi="ˎ̥" w:cs="Arial"/>
          <w:color w:val="000000"/>
          <w:kern w:val="0"/>
          <w:szCs w:val="21"/>
        </w:rPr>
        <w:t>为注册审批部门所在地的简称：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境内第三类医疗器械、进口第二类、第三类医疗器械为</w:t>
      </w:r>
      <w:r w:rsidRPr="0054137C">
        <w:rPr>
          <w:rFonts w:ascii="ˎ̥" w:eastAsia="宋体" w:hAnsi="ˎ̥" w:cs="Arial"/>
          <w:color w:val="000000"/>
          <w:kern w:val="0"/>
          <w:szCs w:val="21"/>
        </w:rPr>
        <w:t>“</w:t>
      </w:r>
      <w:r w:rsidRPr="0054137C">
        <w:rPr>
          <w:rFonts w:ascii="ˎ̥" w:eastAsia="宋体" w:hAnsi="ˎ̥" w:cs="Arial"/>
          <w:color w:val="000000"/>
          <w:kern w:val="0"/>
          <w:szCs w:val="21"/>
        </w:rPr>
        <w:t>国</w:t>
      </w:r>
      <w:r w:rsidRPr="0054137C">
        <w:rPr>
          <w:rFonts w:ascii="ˎ̥" w:eastAsia="宋体" w:hAnsi="ˎ̥" w:cs="Arial"/>
          <w:color w:val="000000"/>
          <w:kern w:val="0"/>
          <w:szCs w:val="21"/>
        </w:rPr>
        <w:t>”</w:t>
      </w:r>
      <w:r w:rsidRPr="0054137C">
        <w:rPr>
          <w:rFonts w:ascii="ˎ̥" w:eastAsia="宋体" w:hAnsi="ˎ̥" w:cs="Arial"/>
          <w:color w:val="000000"/>
          <w:kern w:val="0"/>
          <w:szCs w:val="21"/>
        </w:rPr>
        <w:t>字；</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境内第二类医疗器械为注册审批部门所在地省、自治区、直辖市简称；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×2</w:t>
      </w:r>
      <w:r w:rsidRPr="0054137C">
        <w:rPr>
          <w:rFonts w:ascii="ˎ̥" w:eastAsia="宋体" w:hAnsi="ˎ̥" w:cs="Arial"/>
          <w:color w:val="000000"/>
          <w:kern w:val="0"/>
          <w:szCs w:val="21"/>
        </w:rPr>
        <w:t>为注册形式：</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w:t>
      </w:r>
      <w:r w:rsidRPr="0054137C">
        <w:rPr>
          <w:rFonts w:ascii="ˎ̥" w:eastAsia="宋体" w:hAnsi="ˎ̥" w:cs="Arial"/>
          <w:color w:val="000000"/>
          <w:kern w:val="0"/>
          <w:szCs w:val="21"/>
        </w:rPr>
        <w:t>准</w:t>
      </w:r>
      <w:r w:rsidRPr="0054137C">
        <w:rPr>
          <w:rFonts w:ascii="ˎ̥" w:eastAsia="宋体" w:hAnsi="ˎ̥" w:cs="Arial"/>
          <w:color w:val="000000"/>
          <w:kern w:val="0"/>
          <w:szCs w:val="21"/>
        </w:rPr>
        <w:t>”</w:t>
      </w:r>
      <w:r w:rsidRPr="0054137C">
        <w:rPr>
          <w:rFonts w:ascii="ˎ̥" w:eastAsia="宋体" w:hAnsi="ˎ̥" w:cs="Arial"/>
          <w:color w:val="000000"/>
          <w:kern w:val="0"/>
          <w:szCs w:val="21"/>
        </w:rPr>
        <w:t>字适用于境内医疗器械；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w:t>
      </w:r>
      <w:r w:rsidRPr="0054137C">
        <w:rPr>
          <w:rFonts w:ascii="ˎ̥" w:eastAsia="宋体" w:hAnsi="ˎ̥" w:cs="Arial"/>
          <w:color w:val="000000"/>
          <w:kern w:val="0"/>
          <w:szCs w:val="21"/>
        </w:rPr>
        <w:t>进</w:t>
      </w:r>
      <w:r w:rsidRPr="0054137C">
        <w:rPr>
          <w:rFonts w:ascii="ˎ̥" w:eastAsia="宋体" w:hAnsi="ˎ̥" w:cs="Arial"/>
          <w:color w:val="000000"/>
          <w:kern w:val="0"/>
          <w:szCs w:val="21"/>
        </w:rPr>
        <w:t>”</w:t>
      </w:r>
      <w:r w:rsidRPr="0054137C">
        <w:rPr>
          <w:rFonts w:ascii="ˎ̥" w:eastAsia="宋体" w:hAnsi="ˎ̥" w:cs="Arial"/>
          <w:color w:val="000000"/>
          <w:kern w:val="0"/>
          <w:szCs w:val="21"/>
        </w:rPr>
        <w:t>字适用于进口医疗器械；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w:t>
      </w:r>
      <w:r w:rsidRPr="0054137C">
        <w:rPr>
          <w:rFonts w:ascii="ˎ̥" w:eastAsia="宋体" w:hAnsi="ˎ̥" w:cs="Arial"/>
          <w:color w:val="000000"/>
          <w:kern w:val="0"/>
          <w:szCs w:val="21"/>
        </w:rPr>
        <w:t>许</w:t>
      </w:r>
      <w:r w:rsidRPr="0054137C">
        <w:rPr>
          <w:rFonts w:ascii="ˎ̥" w:eastAsia="宋体" w:hAnsi="ˎ̥" w:cs="Arial"/>
          <w:color w:val="000000"/>
          <w:kern w:val="0"/>
          <w:szCs w:val="21"/>
        </w:rPr>
        <w:t>”</w:t>
      </w:r>
      <w:r w:rsidRPr="0054137C">
        <w:rPr>
          <w:rFonts w:ascii="ˎ̥" w:eastAsia="宋体" w:hAnsi="ˎ̥" w:cs="Arial"/>
          <w:color w:val="000000"/>
          <w:kern w:val="0"/>
          <w:szCs w:val="21"/>
        </w:rPr>
        <w:t>字适用于香港、澳门、台湾地区的医疗器械；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××××3</w:t>
      </w:r>
      <w:r w:rsidRPr="0054137C">
        <w:rPr>
          <w:rFonts w:ascii="ˎ̥" w:eastAsia="宋体" w:hAnsi="ˎ̥" w:cs="Arial"/>
          <w:color w:val="000000"/>
          <w:kern w:val="0"/>
          <w:szCs w:val="21"/>
        </w:rPr>
        <w:t>为首次注册年份；</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×4</w:t>
      </w:r>
      <w:r w:rsidRPr="0054137C">
        <w:rPr>
          <w:rFonts w:ascii="ˎ̥" w:eastAsia="宋体" w:hAnsi="ˎ̥" w:cs="Arial"/>
          <w:color w:val="000000"/>
          <w:kern w:val="0"/>
          <w:szCs w:val="21"/>
        </w:rPr>
        <w:t>为产品管理类别；</w:t>
      </w:r>
      <w:r w:rsidRPr="0054137C">
        <w:rPr>
          <w:rFonts w:ascii="ˎ̥" w:eastAsia="宋体" w:hAnsi="ˎ̥" w:cs="Arial"/>
          <w:color w:val="000000"/>
          <w:kern w:val="0"/>
          <w:sz w:val="18"/>
          <w:szCs w:val="18"/>
        </w:rPr>
        <w:br/>
      </w:r>
      <w:r w:rsidRPr="0054137C">
        <w:rPr>
          <w:rFonts w:ascii="ˎ̥" w:eastAsia="宋体" w:hAnsi="ˎ̥" w:cs="Arial"/>
          <w:color w:val="000000"/>
          <w:kern w:val="0"/>
          <w:szCs w:val="21"/>
        </w:rPr>
        <w:lastRenderedPageBreak/>
        <w:t xml:space="preserve">　　</w:t>
      </w:r>
      <w:r w:rsidRPr="0054137C">
        <w:rPr>
          <w:rFonts w:ascii="ˎ̥" w:eastAsia="宋体" w:hAnsi="ˎ̥" w:cs="Arial"/>
          <w:color w:val="000000"/>
          <w:kern w:val="0"/>
          <w:szCs w:val="21"/>
        </w:rPr>
        <w:t>××5</w:t>
      </w:r>
      <w:r w:rsidRPr="0054137C">
        <w:rPr>
          <w:rFonts w:ascii="ˎ̥" w:eastAsia="宋体" w:hAnsi="ˎ̥" w:cs="Arial"/>
          <w:color w:val="000000"/>
          <w:kern w:val="0"/>
          <w:szCs w:val="21"/>
        </w:rPr>
        <w:t>为产品分类编码；</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××××6</w:t>
      </w:r>
      <w:r w:rsidRPr="0054137C">
        <w:rPr>
          <w:rFonts w:ascii="ˎ̥" w:eastAsia="宋体" w:hAnsi="ˎ̥" w:cs="Arial"/>
          <w:color w:val="000000"/>
          <w:kern w:val="0"/>
          <w:szCs w:val="21"/>
        </w:rPr>
        <w:t>为首次注册流水号。</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延续注册的，</w:t>
      </w:r>
      <w:r w:rsidRPr="0054137C">
        <w:rPr>
          <w:rFonts w:ascii="ˎ̥" w:eastAsia="宋体" w:hAnsi="ˎ̥" w:cs="Arial"/>
          <w:color w:val="000000"/>
          <w:kern w:val="0"/>
          <w:szCs w:val="21"/>
        </w:rPr>
        <w:t>××××3</w:t>
      </w:r>
      <w:r w:rsidRPr="0054137C">
        <w:rPr>
          <w:rFonts w:ascii="ˎ̥" w:eastAsia="宋体" w:hAnsi="ˎ̥" w:cs="Arial"/>
          <w:color w:val="000000"/>
          <w:kern w:val="0"/>
          <w:szCs w:val="21"/>
        </w:rPr>
        <w:t>和</w:t>
      </w:r>
      <w:r w:rsidRPr="0054137C">
        <w:rPr>
          <w:rFonts w:ascii="ˎ̥" w:eastAsia="宋体" w:hAnsi="ˎ̥" w:cs="Arial"/>
          <w:color w:val="000000"/>
          <w:kern w:val="0"/>
          <w:szCs w:val="21"/>
        </w:rPr>
        <w:t>××××6</w:t>
      </w:r>
      <w:r w:rsidRPr="0054137C">
        <w:rPr>
          <w:rFonts w:ascii="ˎ̥" w:eastAsia="宋体" w:hAnsi="ˎ̥" w:cs="Arial"/>
          <w:color w:val="000000"/>
          <w:kern w:val="0"/>
          <w:szCs w:val="21"/>
        </w:rPr>
        <w:t>数字不变。产品管理类别调整的，应当重新编号。</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第七十七条　第一类医疗器械备案凭证编号的编排方式为：</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×1</w:t>
      </w:r>
      <w:proofErr w:type="gramStart"/>
      <w:r w:rsidRPr="0054137C">
        <w:rPr>
          <w:rFonts w:ascii="ˎ̥" w:eastAsia="宋体" w:hAnsi="ˎ̥" w:cs="Arial"/>
          <w:color w:val="000000"/>
          <w:kern w:val="0"/>
          <w:szCs w:val="21"/>
        </w:rPr>
        <w:t>械备</w:t>
      </w:r>
      <w:proofErr w:type="gramEnd"/>
      <w:r w:rsidRPr="0054137C">
        <w:rPr>
          <w:rFonts w:ascii="ˎ̥" w:eastAsia="宋体" w:hAnsi="ˎ̥" w:cs="Arial"/>
          <w:color w:val="000000"/>
          <w:kern w:val="0"/>
          <w:szCs w:val="21"/>
        </w:rPr>
        <w:t>××××2××××3</w:t>
      </w:r>
      <w:r w:rsidRPr="0054137C">
        <w:rPr>
          <w:rFonts w:ascii="ˎ̥" w:eastAsia="宋体" w:hAnsi="ˎ̥" w:cs="Arial"/>
          <w:color w:val="000000"/>
          <w:kern w:val="0"/>
          <w:szCs w:val="21"/>
        </w:rPr>
        <w:t>号。</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其中：</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×1</w:t>
      </w:r>
      <w:r w:rsidRPr="0054137C">
        <w:rPr>
          <w:rFonts w:ascii="ˎ̥" w:eastAsia="宋体" w:hAnsi="ˎ̥" w:cs="Arial"/>
          <w:color w:val="000000"/>
          <w:kern w:val="0"/>
          <w:szCs w:val="21"/>
        </w:rPr>
        <w:t>为备案部门所在地的简称：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进口第一类医疗器械为</w:t>
      </w:r>
      <w:r w:rsidRPr="0054137C">
        <w:rPr>
          <w:rFonts w:ascii="ˎ̥" w:eastAsia="宋体" w:hAnsi="ˎ̥" w:cs="Arial"/>
          <w:color w:val="000000"/>
          <w:kern w:val="0"/>
          <w:szCs w:val="21"/>
        </w:rPr>
        <w:t>“</w:t>
      </w:r>
      <w:r w:rsidRPr="0054137C">
        <w:rPr>
          <w:rFonts w:ascii="ˎ̥" w:eastAsia="宋体" w:hAnsi="ˎ̥" w:cs="Arial"/>
          <w:color w:val="000000"/>
          <w:kern w:val="0"/>
          <w:szCs w:val="21"/>
        </w:rPr>
        <w:t>国</w:t>
      </w:r>
      <w:r w:rsidRPr="0054137C">
        <w:rPr>
          <w:rFonts w:ascii="ˎ̥" w:eastAsia="宋体" w:hAnsi="ˎ̥" w:cs="Arial"/>
          <w:color w:val="000000"/>
          <w:kern w:val="0"/>
          <w:szCs w:val="21"/>
        </w:rPr>
        <w:t>”</w:t>
      </w:r>
      <w:r w:rsidRPr="0054137C">
        <w:rPr>
          <w:rFonts w:ascii="ˎ̥" w:eastAsia="宋体" w:hAnsi="ˎ̥" w:cs="Arial"/>
          <w:color w:val="000000"/>
          <w:kern w:val="0"/>
          <w:szCs w:val="21"/>
        </w:rPr>
        <w:t>字；</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境内第一类医疗器械为备案部门所在地省、自治区、直辖市简称加所在地设区的市级行政区域的简称（无相应设区的市级行政区域时，仅为省、自治区、直辖市的简称）；</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××××2</w:t>
      </w:r>
      <w:r w:rsidRPr="0054137C">
        <w:rPr>
          <w:rFonts w:ascii="ˎ̥" w:eastAsia="宋体" w:hAnsi="ˎ̥" w:cs="Arial"/>
          <w:color w:val="000000"/>
          <w:kern w:val="0"/>
          <w:szCs w:val="21"/>
        </w:rPr>
        <w:t>为备案年份；</w:t>
      </w:r>
      <w:r w:rsidRPr="0054137C">
        <w:rPr>
          <w:rFonts w:ascii="ˎ̥" w:eastAsia="宋体" w:hAnsi="ˎ̥" w:cs="Arial"/>
          <w:color w:val="000000"/>
          <w:kern w:val="0"/>
          <w:sz w:val="18"/>
          <w:szCs w:val="18"/>
        </w:rPr>
        <w:br/>
      </w:r>
      <w:r w:rsidRPr="0054137C">
        <w:rPr>
          <w:rFonts w:ascii="ˎ̥" w:eastAsia="宋体" w:hAnsi="ˎ̥" w:cs="Arial"/>
          <w:color w:val="000000"/>
          <w:kern w:val="0"/>
          <w:szCs w:val="21"/>
        </w:rPr>
        <w:t xml:space="preserve">　　</w:t>
      </w:r>
      <w:r w:rsidRPr="0054137C">
        <w:rPr>
          <w:rFonts w:ascii="ˎ̥" w:eastAsia="宋体" w:hAnsi="ˎ̥" w:cs="Arial"/>
          <w:color w:val="000000"/>
          <w:kern w:val="0"/>
          <w:szCs w:val="21"/>
        </w:rPr>
        <w:t>××××3</w:t>
      </w:r>
      <w:r w:rsidRPr="0054137C">
        <w:rPr>
          <w:rFonts w:ascii="ˎ̥" w:eastAsia="宋体" w:hAnsi="ˎ̥" w:cs="Arial"/>
          <w:color w:val="000000"/>
          <w:kern w:val="0"/>
          <w:szCs w:val="21"/>
        </w:rPr>
        <w:t>为备案流水号。</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第七十八条　按医疗器械管理的体外诊断试剂的注册与备案适用《体外诊断试剂注册管理办法》。</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第七十九条　医疗器械应急审批程序和创新医疗器械特别审批程序由国家食品药品监督管理总局另行制定。</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第八十条　根据工作需要，国家食品药品监督管理总局可以委托省、自治区、直辖市食品药品监督管理部门或者技术机构、相关社会组织承担医疗器械注册有关的具体工作。</w:t>
      </w:r>
    </w:p>
    <w:p w:rsidR="0054137C" w:rsidRPr="0054137C" w:rsidRDefault="0054137C" w:rsidP="0054137C">
      <w:pPr>
        <w:widowControl/>
        <w:wordWrap w:val="0"/>
        <w:spacing w:before="100" w:beforeAutospacing="1" w:after="100" w:afterAutospacing="1" w:line="480" w:lineRule="auto"/>
        <w:jc w:val="left"/>
        <w:rPr>
          <w:rFonts w:ascii="ˎ̥" w:eastAsia="宋体" w:hAnsi="ˎ̥" w:cs="Arial"/>
          <w:color w:val="000000"/>
          <w:kern w:val="0"/>
          <w:szCs w:val="21"/>
        </w:rPr>
      </w:pPr>
      <w:r w:rsidRPr="0054137C">
        <w:rPr>
          <w:rFonts w:ascii="ˎ̥" w:eastAsia="宋体" w:hAnsi="ˎ̥" w:cs="Arial"/>
          <w:color w:val="000000"/>
          <w:kern w:val="0"/>
          <w:szCs w:val="21"/>
        </w:rPr>
        <w:t xml:space="preserve">　　第八十一条　医疗器械产品注册收费项目、收费标准按照国务院财政、价格主管部门的有关规定执行。</w:t>
      </w:r>
    </w:p>
    <w:p w:rsidR="0054137C" w:rsidRDefault="0054137C" w:rsidP="0054137C">
      <w:r w:rsidRPr="0054137C">
        <w:rPr>
          <w:rFonts w:ascii="ˎ̥" w:eastAsia="宋体" w:hAnsi="ˎ̥" w:cs="Arial"/>
          <w:color w:val="000000"/>
          <w:kern w:val="0"/>
          <w:szCs w:val="21"/>
        </w:rPr>
        <w:lastRenderedPageBreak/>
        <w:t xml:space="preserve">　　第八十二条　本办法自</w:t>
      </w:r>
      <w:r w:rsidRPr="0054137C">
        <w:rPr>
          <w:rFonts w:ascii="ˎ̥" w:eastAsia="宋体" w:hAnsi="ˎ̥" w:cs="Arial"/>
          <w:color w:val="000000"/>
          <w:kern w:val="0"/>
          <w:szCs w:val="21"/>
        </w:rPr>
        <w:t>2014</w:t>
      </w:r>
      <w:r w:rsidRPr="0054137C">
        <w:rPr>
          <w:rFonts w:ascii="ˎ̥" w:eastAsia="宋体" w:hAnsi="ˎ̥" w:cs="Arial"/>
          <w:color w:val="000000"/>
          <w:kern w:val="0"/>
          <w:szCs w:val="21"/>
        </w:rPr>
        <w:t>年</w:t>
      </w:r>
      <w:r w:rsidRPr="0054137C">
        <w:rPr>
          <w:rFonts w:ascii="ˎ̥" w:eastAsia="宋体" w:hAnsi="ˎ̥" w:cs="Arial"/>
          <w:color w:val="000000"/>
          <w:kern w:val="0"/>
          <w:szCs w:val="21"/>
        </w:rPr>
        <w:t>10</w:t>
      </w:r>
      <w:r w:rsidRPr="0054137C">
        <w:rPr>
          <w:rFonts w:ascii="ˎ̥" w:eastAsia="宋体" w:hAnsi="ˎ̥" w:cs="Arial"/>
          <w:color w:val="000000"/>
          <w:kern w:val="0"/>
          <w:szCs w:val="21"/>
        </w:rPr>
        <w:t>月</w:t>
      </w:r>
      <w:r w:rsidRPr="0054137C">
        <w:rPr>
          <w:rFonts w:ascii="ˎ̥" w:eastAsia="宋体" w:hAnsi="ˎ̥" w:cs="Arial"/>
          <w:color w:val="000000"/>
          <w:kern w:val="0"/>
          <w:szCs w:val="21"/>
        </w:rPr>
        <w:t>1</w:t>
      </w:r>
      <w:r w:rsidRPr="0054137C">
        <w:rPr>
          <w:rFonts w:ascii="ˎ̥" w:eastAsia="宋体" w:hAnsi="ˎ̥" w:cs="Arial"/>
          <w:color w:val="000000"/>
          <w:kern w:val="0"/>
          <w:szCs w:val="21"/>
        </w:rPr>
        <w:t>日起施行。</w:t>
      </w:r>
      <w:r w:rsidRPr="0054137C">
        <w:rPr>
          <w:rFonts w:ascii="ˎ̥" w:eastAsia="宋体" w:hAnsi="ˎ̥" w:cs="Arial"/>
          <w:color w:val="000000"/>
          <w:kern w:val="0"/>
          <w:szCs w:val="21"/>
        </w:rPr>
        <w:t>2004</w:t>
      </w:r>
      <w:r w:rsidRPr="0054137C">
        <w:rPr>
          <w:rFonts w:ascii="ˎ̥" w:eastAsia="宋体" w:hAnsi="ˎ̥" w:cs="Arial"/>
          <w:color w:val="000000"/>
          <w:kern w:val="0"/>
          <w:szCs w:val="21"/>
        </w:rPr>
        <w:t>年</w:t>
      </w:r>
      <w:r w:rsidRPr="0054137C">
        <w:rPr>
          <w:rFonts w:ascii="ˎ̥" w:eastAsia="宋体" w:hAnsi="ˎ̥" w:cs="Arial"/>
          <w:color w:val="000000"/>
          <w:kern w:val="0"/>
          <w:szCs w:val="21"/>
        </w:rPr>
        <w:t>8</w:t>
      </w:r>
      <w:r w:rsidRPr="0054137C">
        <w:rPr>
          <w:rFonts w:ascii="ˎ̥" w:eastAsia="宋体" w:hAnsi="ˎ̥" w:cs="Arial"/>
          <w:color w:val="000000"/>
          <w:kern w:val="0"/>
          <w:szCs w:val="21"/>
        </w:rPr>
        <w:t>月</w:t>
      </w:r>
      <w:r w:rsidRPr="0054137C">
        <w:rPr>
          <w:rFonts w:ascii="ˎ̥" w:eastAsia="宋体" w:hAnsi="ˎ̥" w:cs="Arial"/>
          <w:color w:val="000000"/>
          <w:kern w:val="0"/>
          <w:szCs w:val="21"/>
        </w:rPr>
        <w:t>9</w:t>
      </w:r>
      <w:r w:rsidRPr="0054137C">
        <w:rPr>
          <w:rFonts w:ascii="ˎ̥" w:eastAsia="宋体" w:hAnsi="ˎ̥" w:cs="Arial"/>
          <w:color w:val="000000"/>
          <w:kern w:val="0"/>
          <w:szCs w:val="21"/>
        </w:rPr>
        <w:t>日公布的《医疗器械注册管理办法》（原国家食品药品监督管理局令第</w:t>
      </w:r>
      <w:r w:rsidRPr="0054137C">
        <w:rPr>
          <w:rFonts w:ascii="ˎ̥" w:eastAsia="宋体" w:hAnsi="ˎ̥" w:cs="Arial"/>
          <w:color w:val="000000"/>
          <w:kern w:val="0"/>
          <w:szCs w:val="21"/>
        </w:rPr>
        <w:t>16</w:t>
      </w:r>
      <w:r w:rsidRPr="0054137C">
        <w:rPr>
          <w:rFonts w:ascii="ˎ̥" w:eastAsia="宋体" w:hAnsi="ˎ̥" w:cs="Arial"/>
          <w:color w:val="000000"/>
          <w:kern w:val="0"/>
          <w:szCs w:val="21"/>
        </w:rPr>
        <w:t>号）同时废止。</w:t>
      </w:r>
    </w:p>
    <w:p w:rsidR="0054137C" w:rsidRDefault="0054137C" w:rsidP="0054137C"/>
    <w:p w:rsidR="0054137C" w:rsidRDefault="0054137C" w:rsidP="0054137C">
      <w:r>
        <w:t xml:space="preserve"> </w:t>
      </w:r>
    </w:p>
    <w:p w:rsidR="0054137C" w:rsidRDefault="0054137C" w:rsidP="0054137C">
      <w:r>
        <w:t xml:space="preserve"> </w:t>
      </w:r>
    </w:p>
    <w:p w:rsidR="00423D39" w:rsidRPr="0054137C" w:rsidRDefault="00423D39"/>
    <w:sectPr w:rsidR="00423D39" w:rsidRPr="00541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37C"/>
    <w:rsid w:val="00000388"/>
    <w:rsid w:val="00000ECA"/>
    <w:rsid w:val="000056C9"/>
    <w:rsid w:val="00005EE1"/>
    <w:rsid w:val="00021677"/>
    <w:rsid w:val="000265FE"/>
    <w:rsid w:val="000271C7"/>
    <w:rsid w:val="00030A49"/>
    <w:rsid w:val="000317B3"/>
    <w:rsid w:val="000366E4"/>
    <w:rsid w:val="00040009"/>
    <w:rsid w:val="00045E6A"/>
    <w:rsid w:val="00050B90"/>
    <w:rsid w:val="00052DF1"/>
    <w:rsid w:val="00053919"/>
    <w:rsid w:val="00054689"/>
    <w:rsid w:val="00061932"/>
    <w:rsid w:val="00081CD1"/>
    <w:rsid w:val="00085475"/>
    <w:rsid w:val="000A148B"/>
    <w:rsid w:val="000A1819"/>
    <w:rsid w:val="000A2450"/>
    <w:rsid w:val="000A40D5"/>
    <w:rsid w:val="000B15E9"/>
    <w:rsid w:val="000D3251"/>
    <w:rsid w:val="000E08EF"/>
    <w:rsid w:val="000E0EBB"/>
    <w:rsid w:val="000E291F"/>
    <w:rsid w:val="000E3CA5"/>
    <w:rsid w:val="000E3D34"/>
    <w:rsid w:val="000F3921"/>
    <w:rsid w:val="000F7AE0"/>
    <w:rsid w:val="00123336"/>
    <w:rsid w:val="001304B5"/>
    <w:rsid w:val="00132890"/>
    <w:rsid w:val="0014670C"/>
    <w:rsid w:val="001552DC"/>
    <w:rsid w:val="00157779"/>
    <w:rsid w:val="00165491"/>
    <w:rsid w:val="00167259"/>
    <w:rsid w:val="00167860"/>
    <w:rsid w:val="00167B76"/>
    <w:rsid w:val="001825E4"/>
    <w:rsid w:val="0019662C"/>
    <w:rsid w:val="00197D01"/>
    <w:rsid w:val="001A3057"/>
    <w:rsid w:val="001B15EC"/>
    <w:rsid w:val="001B2D84"/>
    <w:rsid w:val="001B3B94"/>
    <w:rsid w:val="001B6EE2"/>
    <w:rsid w:val="001B78B5"/>
    <w:rsid w:val="001C03B0"/>
    <w:rsid w:val="001C158E"/>
    <w:rsid w:val="001C18A5"/>
    <w:rsid w:val="001C1D8E"/>
    <w:rsid w:val="001C4C2C"/>
    <w:rsid w:val="001C6553"/>
    <w:rsid w:val="001C69B2"/>
    <w:rsid w:val="001D0BEF"/>
    <w:rsid w:val="001D394B"/>
    <w:rsid w:val="001D3BB7"/>
    <w:rsid w:val="001D58FE"/>
    <w:rsid w:val="001E47D7"/>
    <w:rsid w:val="001E4A8B"/>
    <w:rsid w:val="001F7D19"/>
    <w:rsid w:val="002112CE"/>
    <w:rsid w:val="0022347E"/>
    <w:rsid w:val="002254E6"/>
    <w:rsid w:val="00230AEC"/>
    <w:rsid w:val="00231DF7"/>
    <w:rsid w:val="002323F4"/>
    <w:rsid w:val="0024343F"/>
    <w:rsid w:val="0024767F"/>
    <w:rsid w:val="002504C8"/>
    <w:rsid w:val="00250C49"/>
    <w:rsid w:val="00262B43"/>
    <w:rsid w:val="002660E8"/>
    <w:rsid w:val="00281BB1"/>
    <w:rsid w:val="002879C5"/>
    <w:rsid w:val="002916B7"/>
    <w:rsid w:val="0029630C"/>
    <w:rsid w:val="002A3A87"/>
    <w:rsid w:val="002B2EB7"/>
    <w:rsid w:val="002B76C4"/>
    <w:rsid w:val="002C301A"/>
    <w:rsid w:val="002C61D3"/>
    <w:rsid w:val="002D03CE"/>
    <w:rsid w:val="002D2D53"/>
    <w:rsid w:val="002D4907"/>
    <w:rsid w:val="002E31BD"/>
    <w:rsid w:val="002E5FEB"/>
    <w:rsid w:val="002F666A"/>
    <w:rsid w:val="00300181"/>
    <w:rsid w:val="00301DD0"/>
    <w:rsid w:val="0031308C"/>
    <w:rsid w:val="00317392"/>
    <w:rsid w:val="00323BB7"/>
    <w:rsid w:val="00323C8C"/>
    <w:rsid w:val="00325D0D"/>
    <w:rsid w:val="003262BD"/>
    <w:rsid w:val="00326AA8"/>
    <w:rsid w:val="00335F3C"/>
    <w:rsid w:val="00340B1E"/>
    <w:rsid w:val="00360F90"/>
    <w:rsid w:val="00367054"/>
    <w:rsid w:val="0037693B"/>
    <w:rsid w:val="0039010C"/>
    <w:rsid w:val="003963E4"/>
    <w:rsid w:val="003A0777"/>
    <w:rsid w:val="003B3033"/>
    <w:rsid w:val="003C3572"/>
    <w:rsid w:val="003C4B52"/>
    <w:rsid w:val="003E43A1"/>
    <w:rsid w:val="003F3C31"/>
    <w:rsid w:val="00423ABC"/>
    <w:rsid w:val="00423D39"/>
    <w:rsid w:val="00425DDD"/>
    <w:rsid w:val="004268BD"/>
    <w:rsid w:val="00432CF8"/>
    <w:rsid w:val="00437228"/>
    <w:rsid w:val="00466C79"/>
    <w:rsid w:val="00467483"/>
    <w:rsid w:val="004676AD"/>
    <w:rsid w:val="00467C43"/>
    <w:rsid w:val="00470E98"/>
    <w:rsid w:val="004716CE"/>
    <w:rsid w:val="0047381D"/>
    <w:rsid w:val="00485B02"/>
    <w:rsid w:val="00487688"/>
    <w:rsid w:val="00492F88"/>
    <w:rsid w:val="004A6EBE"/>
    <w:rsid w:val="004B3CF3"/>
    <w:rsid w:val="004C70CC"/>
    <w:rsid w:val="004D2418"/>
    <w:rsid w:val="004D64C4"/>
    <w:rsid w:val="004E27E8"/>
    <w:rsid w:val="004E3B46"/>
    <w:rsid w:val="004F0709"/>
    <w:rsid w:val="004F1B21"/>
    <w:rsid w:val="004F3DA6"/>
    <w:rsid w:val="004F3E9B"/>
    <w:rsid w:val="004F6773"/>
    <w:rsid w:val="004F7CC0"/>
    <w:rsid w:val="004F7E95"/>
    <w:rsid w:val="0050382D"/>
    <w:rsid w:val="00510ECB"/>
    <w:rsid w:val="00521DA1"/>
    <w:rsid w:val="00523015"/>
    <w:rsid w:val="00525E7B"/>
    <w:rsid w:val="00530AA9"/>
    <w:rsid w:val="00533105"/>
    <w:rsid w:val="0053584F"/>
    <w:rsid w:val="00535AC7"/>
    <w:rsid w:val="0054137C"/>
    <w:rsid w:val="0054343A"/>
    <w:rsid w:val="00552244"/>
    <w:rsid w:val="005574D4"/>
    <w:rsid w:val="00560292"/>
    <w:rsid w:val="00565829"/>
    <w:rsid w:val="00571A2E"/>
    <w:rsid w:val="005812CC"/>
    <w:rsid w:val="00583949"/>
    <w:rsid w:val="00596E10"/>
    <w:rsid w:val="005A151C"/>
    <w:rsid w:val="005A1927"/>
    <w:rsid w:val="005A6BE2"/>
    <w:rsid w:val="005A7F48"/>
    <w:rsid w:val="005B183B"/>
    <w:rsid w:val="005B2161"/>
    <w:rsid w:val="005B5218"/>
    <w:rsid w:val="005C39AE"/>
    <w:rsid w:val="005C7F6F"/>
    <w:rsid w:val="005D3AFD"/>
    <w:rsid w:val="005D5E18"/>
    <w:rsid w:val="005E47CA"/>
    <w:rsid w:val="005E7716"/>
    <w:rsid w:val="005F0BF6"/>
    <w:rsid w:val="005F6450"/>
    <w:rsid w:val="00621636"/>
    <w:rsid w:val="006552E7"/>
    <w:rsid w:val="00662580"/>
    <w:rsid w:val="00666435"/>
    <w:rsid w:val="00677AA9"/>
    <w:rsid w:val="00685B5D"/>
    <w:rsid w:val="00691C2C"/>
    <w:rsid w:val="00692E2E"/>
    <w:rsid w:val="006A481D"/>
    <w:rsid w:val="006B5854"/>
    <w:rsid w:val="006D6460"/>
    <w:rsid w:val="006D6870"/>
    <w:rsid w:val="006E1001"/>
    <w:rsid w:val="006E46A2"/>
    <w:rsid w:val="006F6535"/>
    <w:rsid w:val="0070019A"/>
    <w:rsid w:val="00700D8D"/>
    <w:rsid w:val="00715904"/>
    <w:rsid w:val="00716447"/>
    <w:rsid w:val="00716C65"/>
    <w:rsid w:val="00721120"/>
    <w:rsid w:val="00721EA7"/>
    <w:rsid w:val="00727A99"/>
    <w:rsid w:val="00732FDF"/>
    <w:rsid w:val="007345F9"/>
    <w:rsid w:val="00735960"/>
    <w:rsid w:val="00740570"/>
    <w:rsid w:val="00754E0A"/>
    <w:rsid w:val="007565DE"/>
    <w:rsid w:val="00764F6F"/>
    <w:rsid w:val="0077645E"/>
    <w:rsid w:val="00777B9F"/>
    <w:rsid w:val="007801B6"/>
    <w:rsid w:val="00782093"/>
    <w:rsid w:val="00782665"/>
    <w:rsid w:val="007A109D"/>
    <w:rsid w:val="007B1210"/>
    <w:rsid w:val="007B35C9"/>
    <w:rsid w:val="007C49D4"/>
    <w:rsid w:val="007C5889"/>
    <w:rsid w:val="007C72E3"/>
    <w:rsid w:val="007D236B"/>
    <w:rsid w:val="007E0D06"/>
    <w:rsid w:val="007E1023"/>
    <w:rsid w:val="007E7917"/>
    <w:rsid w:val="007E7BD8"/>
    <w:rsid w:val="007F27B5"/>
    <w:rsid w:val="00804011"/>
    <w:rsid w:val="0082644A"/>
    <w:rsid w:val="008305D4"/>
    <w:rsid w:val="008417B2"/>
    <w:rsid w:val="00843CD2"/>
    <w:rsid w:val="00844EAA"/>
    <w:rsid w:val="0085211B"/>
    <w:rsid w:val="00854681"/>
    <w:rsid w:val="008758DE"/>
    <w:rsid w:val="00883D9A"/>
    <w:rsid w:val="008912EA"/>
    <w:rsid w:val="008A482D"/>
    <w:rsid w:val="008B1FB9"/>
    <w:rsid w:val="008B5C4E"/>
    <w:rsid w:val="008D1C88"/>
    <w:rsid w:val="008E3065"/>
    <w:rsid w:val="008E6C5B"/>
    <w:rsid w:val="008F05BC"/>
    <w:rsid w:val="009119E6"/>
    <w:rsid w:val="00912328"/>
    <w:rsid w:val="009215B8"/>
    <w:rsid w:val="009241AC"/>
    <w:rsid w:val="00926B68"/>
    <w:rsid w:val="0094464D"/>
    <w:rsid w:val="009447F5"/>
    <w:rsid w:val="00962D87"/>
    <w:rsid w:val="0096645B"/>
    <w:rsid w:val="0097431E"/>
    <w:rsid w:val="00976EDA"/>
    <w:rsid w:val="00986939"/>
    <w:rsid w:val="009A0532"/>
    <w:rsid w:val="009A6156"/>
    <w:rsid w:val="009A6929"/>
    <w:rsid w:val="009A6CF5"/>
    <w:rsid w:val="009B6C20"/>
    <w:rsid w:val="009C63C4"/>
    <w:rsid w:val="009C6619"/>
    <w:rsid w:val="009F01D9"/>
    <w:rsid w:val="009F23A3"/>
    <w:rsid w:val="009F2778"/>
    <w:rsid w:val="00A259A9"/>
    <w:rsid w:val="00A30ED9"/>
    <w:rsid w:val="00A33175"/>
    <w:rsid w:val="00A37354"/>
    <w:rsid w:val="00A37DBD"/>
    <w:rsid w:val="00A40F47"/>
    <w:rsid w:val="00A4164A"/>
    <w:rsid w:val="00A452C2"/>
    <w:rsid w:val="00A50803"/>
    <w:rsid w:val="00A536AE"/>
    <w:rsid w:val="00A61DAB"/>
    <w:rsid w:val="00A64259"/>
    <w:rsid w:val="00A743D6"/>
    <w:rsid w:val="00A80923"/>
    <w:rsid w:val="00A81A82"/>
    <w:rsid w:val="00A83119"/>
    <w:rsid w:val="00A83BD2"/>
    <w:rsid w:val="00A94617"/>
    <w:rsid w:val="00AA5F50"/>
    <w:rsid w:val="00AA670C"/>
    <w:rsid w:val="00AC05B0"/>
    <w:rsid w:val="00AC1CFB"/>
    <w:rsid w:val="00AC4D85"/>
    <w:rsid w:val="00AD773D"/>
    <w:rsid w:val="00AE0FEA"/>
    <w:rsid w:val="00AE282B"/>
    <w:rsid w:val="00AE5A57"/>
    <w:rsid w:val="00AF7070"/>
    <w:rsid w:val="00B249FE"/>
    <w:rsid w:val="00B26DC8"/>
    <w:rsid w:val="00B356BE"/>
    <w:rsid w:val="00B3664E"/>
    <w:rsid w:val="00B40399"/>
    <w:rsid w:val="00B53C41"/>
    <w:rsid w:val="00B615DF"/>
    <w:rsid w:val="00B6330B"/>
    <w:rsid w:val="00B63828"/>
    <w:rsid w:val="00B644DB"/>
    <w:rsid w:val="00B67B53"/>
    <w:rsid w:val="00B748F3"/>
    <w:rsid w:val="00B74AEF"/>
    <w:rsid w:val="00B75992"/>
    <w:rsid w:val="00B77384"/>
    <w:rsid w:val="00B80CC2"/>
    <w:rsid w:val="00B83D8C"/>
    <w:rsid w:val="00B870E5"/>
    <w:rsid w:val="00B90888"/>
    <w:rsid w:val="00BA5654"/>
    <w:rsid w:val="00BC0D6F"/>
    <w:rsid w:val="00BC5F04"/>
    <w:rsid w:val="00BE025E"/>
    <w:rsid w:val="00BF47EA"/>
    <w:rsid w:val="00C02807"/>
    <w:rsid w:val="00C135DC"/>
    <w:rsid w:val="00C15DA0"/>
    <w:rsid w:val="00C15DDF"/>
    <w:rsid w:val="00C170E3"/>
    <w:rsid w:val="00C322E0"/>
    <w:rsid w:val="00C5126A"/>
    <w:rsid w:val="00C527EF"/>
    <w:rsid w:val="00C544ED"/>
    <w:rsid w:val="00C57885"/>
    <w:rsid w:val="00C57EB5"/>
    <w:rsid w:val="00C6122D"/>
    <w:rsid w:val="00C6779C"/>
    <w:rsid w:val="00C739ED"/>
    <w:rsid w:val="00C75376"/>
    <w:rsid w:val="00C766F1"/>
    <w:rsid w:val="00C87843"/>
    <w:rsid w:val="00C87933"/>
    <w:rsid w:val="00C97F71"/>
    <w:rsid w:val="00CA1D13"/>
    <w:rsid w:val="00CA4028"/>
    <w:rsid w:val="00CA4100"/>
    <w:rsid w:val="00CB0AB0"/>
    <w:rsid w:val="00CC1283"/>
    <w:rsid w:val="00CC2312"/>
    <w:rsid w:val="00CD00E2"/>
    <w:rsid w:val="00CD097B"/>
    <w:rsid w:val="00CD146C"/>
    <w:rsid w:val="00CD2A5A"/>
    <w:rsid w:val="00CE520F"/>
    <w:rsid w:val="00CF33AF"/>
    <w:rsid w:val="00D01056"/>
    <w:rsid w:val="00D02782"/>
    <w:rsid w:val="00D028B0"/>
    <w:rsid w:val="00D05838"/>
    <w:rsid w:val="00D0657B"/>
    <w:rsid w:val="00D15BE7"/>
    <w:rsid w:val="00D2259F"/>
    <w:rsid w:val="00D25461"/>
    <w:rsid w:val="00D409FC"/>
    <w:rsid w:val="00D4246C"/>
    <w:rsid w:val="00D4325A"/>
    <w:rsid w:val="00D54E0E"/>
    <w:rsid w:val="00D6355A"/>
    <w:rsid w:val="00D6462E"/>
    <w:rsid w:val="00D71D0D"/>
    <w:rsid w:val="00D777B8"/>
    <w:rsid w:val="00D94D8F"/>
    <w:rsid w:val="00D96053"/>
    <w:rsid w:val="00DA13CF"/>
    <w:rsid w:val="00DA169F"/>
    <w:rsid w:val="00DA6BE0"/>
    <w:rsid w:val="00DC084E"/>
    <w:rsid w:val="00DC39F3"/>
    <w:rsid w:val="00DC4930"/>
    <w:rsid w:val="00DD3D92"/>
    <w:rsid w:val="00DD62A1"/>
    <w:rsid w:val="00DD72BE"/>
    <w:rsid w:val="00DD72FB"/>
    <w:rsid w:val="00DF52EF"/>
    <w:rsid w:val="00E01AF5"/>
    <w:rsid w:val="00E15F3E"/>
    <w:rsid w:val="00E16EB7"/>
    <w:rsid w:val="00E26099"/>
    <w:rsid w:val="00E263E9"/>
    <w:rsid w:val="00E37D85"/>
    <w:rsid w:val="00E53162"/>
    <w:rsid w:val="00E558B2"/>
    <w:rsid w:val="00E639E5"/>
    <w:rsid w:val="00E66010"/>
    <w:rsid w:val="00E74290"/>
    <w:rsid w:val="00E8448B"/>
    <w:rsid w:val="00E9017D"/>
    <w:rsid w:val="00EA4D08"/>
    <w:rsid w:val="00EC024E"/>
    <w:rsid w:val="00ED44A1"/>
    <w:rsid w:val="00EE5EF0"/>
    <w:rsid w:val="00EF6EE7"/>
    <w:rsid w:val="00F02EB1"/>
    <w:rsid w:val="00F1004D"/>
    <w:rsid w:val="00F302A2"/>
    <w:rsid w:val="00F36B1D"/>
    <w:rsid w:val="00F36CE0"/>
    <w:rsid w:val="00F4214E"/>
    <w:rsid w:val="00F43DA2"/>
    <w:rsid w:val="00F53CB1"/>
    <w:rsid w:val="00F57FF7"/>
    <w:rsid w:val="00F61129"/>
    <w:rsid w:val="00F76B77"/>
    <w:rsid w:val="00F862E6"/>
    <w:rsid w:val="00F8671E"/>
    <w:rsid w:val="00F871AE"/>
    <w:rsid w:val="00F94CAD"/>
    <w:rsid w:val="00F9555E"/>
    <w:rsid w:val="00F9762E"/>
    <w:rsid w:val="00FA046C"/>
    <w:rsid w:val="00FA118D"/>
    <w:rsid w:val="00FA179D"/>
    <w:rsid w:val="00FB22C1"/>
    <w:rsid w:val="00FC5680"/>
    <w:rsid w:val="00FE0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9D6F2-A478-42A2-8816-4D3FD1A9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1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2</cp:revision>
  <dcterms:created xsi:type="dcterms:W3CDTF">2015-05-24T15:09:00Z</dcterms:created>
  <dcterms:modified xsi:type="dcterms:W3CDTF">2015-05-24T15:15:00Z</dcterms:modified>
</cp:coreProperties>
</file>