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EBBE0" w14:textId="77777777" w:rsidR="001036F4" w:rsidRPr="001036F4" w:rsidRDefault="00313A02">
      <w:pPr>
        <w:adjustRightInd w:val="0"/>
        <w:snapToGrid w:val="0"/>
        <w:spacing w:line="360" w:lineRule="auto"/>
        <w:ind w:firstLineChars="148" w:firstLine="475"/>
        <w:jc w:val="center"/>
        <w:rPr>
          <w:rFonts w:ascii="仿宋_GB2312" w:eastAsia="仿宋_GB2312" w:hAnsi="Times New Roman"/>
          <w:b/>
          <w:color w:val="000000" w:themeColor="text1"/>
          <w:sz w:val="32"/>
          <w:szCs w:val="32"/>
        </w:rPr>
      </w:pPr>
      <w:r w:rsidRPr="001036F4">
        <w:rPr>
          <w:rFonts w:ascii="仿宋_GB2312" w:eastAsia="仿宋_GB2312" w:hAnsi="Times New Roman" w:hint="eastAsia"/>
          <w:b/>
          <w:color w:val="000000" w:themeColor="text1"/>
          <w:sz w:val="32"/>
          <w:szCs w:val="32"/>
        </w:rPr>
        <w:t>“重大慢性非传染性疾病防控研究”重点专项</w:t>
      </w:r>
    </w:p>
    <w:p w14:paraId="5294C14E" w14:textId="51B59A7D" w:rsidR="00C73340" w:rsidRDefault="00313A02">
      <w:pPr>
        <w:adjustRightInd w:val="0"/>
        <w:snapToGrid w:val="0"/>
        <w:spacing w:line="360" w:lineRule="auto"/>
        <w:ind w:firstLineChars="148" w:firstLine="475"/>
        <w:jc w:val="center"/>
        <w:rPr>
          <w:rFonts w:ascii="仿宋_GB2312" w:eastAsia="仿宋_GB2312" w:hAnsi="Times New Roman"/>
          <w:b/>
          <w:color w:val="000000" w:themeColor="text1"/>
          <w:sz w:val="32"/>
          <w:szCs w:val="32"/>
        </w:rPr>
      </w:pPr>
      <w:r w:rsidRPr="001036F4">
        <w:rPr>
          <w:rFonts w:ascii="仿宋_GB2312" w:eastAsia="仿宋_GB2312" w:hAnsi="Times New Roman" w:hint="eastAsia"/>
          <w:b/>
          <w:color w:val="000000" w:themeColor="text1"/>
          <w:sz w:val="32"/>
          <w:szCs w:val="32"/>
        </w:rPr>
        <w:t>2017年度申报指南</w:t>
      </w:r>
    </w:p>
    <w:p w14:paraId="3EF49EC7" w14:textId="77777777" w:rsidR="001036F4" w:rsidRPr="001036F4" w:rsidRDefault="001036F4">
      <w:pPr>
        <w:adjustRightInd w:val="0"/>
        <w:snapToGrid w:val="0"/>
        <w:spacing w:line="360" w:lineRule="auto"/>
        <w:ind w:firstLineChars="148" w:firstLine="475"/>
        <w:jc w:val="center"/>
        <w:rPr>
          <w:rFonts w:ascii="仿宋_GB2312" w:eastAsia="仿宋_GB2312" w:hAnsi="Times New Roman"/>
          <w:b/>
          <w:color w:val="000000" w:themeColor="text1"/>
          <w:sz w:val="32"/>
          <w:szCs w:val="32"/>
        </w:rPr>
      </w:pPr>
    </w:p>
    <w:p w14:paraId="2FC8A9CC" w14:textId="77777777" w:rsidR="00C73340" w:rsidRPr="001036F4" w:rsidRDefault="00313A02">
      <w:pPr>
        <w:adjustRightInd w:val="0"/>
        <w:snapToGrid w:val="0"/>
        <w:spacing w:line="360" w:lineRule="auto"/>
        <w:ind w:firstLineChars="148" w:firstLine="444"/>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本专项聚焦心脑血管疾病、恶性肿瘤、慢阻肺、糖尿病和神经精神疾病等重大慢病，各病种联动推进，突出解决重大慢病防控中的瓶颈问题，重点突破一批重大慢病防治关键技术，搭建重大慢病研究公共平台，建立健全重大慢病研究体系和创新网络，为加快重大慢病防控技术突破、控制医疗费用增长、促进技术合理规范应用、降低医疗和社会负担、遏制重大慢病发病率、死亡率居高不下的局面提供积极有效的科技支撑。</w:t>
      </w:r>
    </w:p>
    <w:p w14:paraId="4026D67E" w14:textId="5EE8FA3A" w:rsidR="00C73340" w:rsidRPr="001036F4" w:rsidRDefault="00557031">
      <w:pPr>
        <w:adjustRightInd w:val="0"/>
        <w:snapToGrid w:val="0"/>
        <w:spacing w:line="360" w:lineRule="auto"/>
        <w:ind w:firstLineChars="148" w:firstLine="444"/>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按照突出重点，分步实施的原则，</w:t>
      </w:r>
      <w:r w:rsidR="00313A02" w:rsidRPr="001036F4">
        <w:rPr>
          <w:rFonts w:ascii="仿宋_GB2312" w:eastAsia="仿宋_GB2312" w:hAnsi="Times New Roman" w:hint="eastAsia"/>
          <w:color w:val="000000" w:themeColor="text1"/>
          <w:sz w:val="30"/>
          <w:szCs w:val="30"/>
        </w:rPr>
        <w:t>2016年部署了心脑血管疾病防控技术研究、恶性肿瘤防控技术研究、慢性阻塞性肺疾病防控技术研究、糖尿病防控技术研究、神经精神疾病防控技术研究及国际合作研究等六大方向，启动了38个三级指南方向。</w:t>
      </w:r>
    </w:p>
    <w:p w14:paraId="2CFF8261" w14:textId="40D2E262" w:rsidR="00C73340" w:rsidRPr="001036F4" w:rsidRDefault="00313A02">
      <w:pPr>
        <w:adjustRightInd w:val="0"/>
        <w:snapToGrid w:val="0"/>
        <w:spacing w:line="360" w:lineRule="auto"/>
        <w:ind w:firstLineChars="148" w:firstLine="444"/>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根据项目规划，2017年指南</w:t>
      </w:r>
      <w:r w:rsidR="00557031" w:rsidRPr="001036F4">
        <w:rPr>
          <w:rFonts w:ascii="仿宋_GB2312" w:eastAsia="仿宋_GB2312" w:hAnsi="Times New Roman" w:hint="eastAsia"/>
          <w:color w:val="000000" w:themeColor="text1"/>
          <w:sz w:val="30"/>
          <w:szCs w:val="30"/>
        </w:rPr>
        <w:t>在</w:t>
      </w:r>
      <w:r w:rsidR="008D1635">
        <w:rPr>
          <w:rFonts w:ascii="仿宋_GB2312" w:eastAsia="仿宋_GB2312" w:hAnsi="Times New Roman" w:hint="eastAsia"/>
          <w:color w:val="000000" w:themeColor="text1"/>
          <w:sz w:val="30"/>
          <w:szCs w:val="30"/>
        </w:rPr>
        <w:t>心脑血管疾病</w:t>
      </w:r>
      <w:r w:rsidR="008D1635">
        <w:rPr>
          <w:rFonts w:ascii="仿宋_GB2312" w:eastAsia="仿宋_GB2312" w:hAnsi="Times New Roman"/>
          <w:color w:val="000000" w:themeColor="text1"/>
          <w:sz w:val="30"/>
          <w:szCs w:val="30"/>
        </w:rPr>
        <w:t>、</w:t>
      </w:r>
      <w:r w:rsidR="008D1635">
        <w:rPr>
          <w:rFonts w:ascii="仿宋_GB2312" w:eastAsia="仿宋_GB2312" w:hAnsi="Times New Roman" w:hint="eastAsia"/>
          <w:color w:val="000000" w:themeColor="text1"/>
          <w:sz w:val="30"/>
          <w:szCs w:val="30"/>
        </w:rPr>
        <w:t>恶性肿瘤</w:t>
      </w:r>
      <w:r w:rsidR="008D1635">
        <w:rPr>
          <w:rFonts w:ascii="仿宋_GB2312" w:eastAsia="仿宋_GB2312" w:hAnsi="Times New Roman"/>
          <w:color w:val="000000" w:themeColor="text1"/>
          <w:sz w:val="30"/>
          <w:szCs w:val="30"/>
        </w:rPr>
        <w:t>、</w:t>
      </w:r>
      <w:r w:rsidR="008D1635">
        <w:rPr>
          <w:rFonts w:ascii="仿宋_GB2312" w:eastAsia="仿宋_GB2312" w:hAnsi="Times New Roman" w:hint="eastAsia"/>
          <w:color w:val="000000" w:themeColor="text1"/>
          <w:sz w:val="30"/>
          <w:szCs w:val="30"/>
        </w:rPr>
        <w:t>慢性</w:t>
      </w:r>
      <w:r w:rsidR="008D1635">
        <w:rPr>
          <w:rFonts w:ascii="仿宋_GB2312" w:eastAsia="仿宋_GB2312" w:hAnsi="Times New Roman"/>
          <w:color w:val="000000" w:themeColor="text1"/>
          <w:sz w:val="30"/>
          <w:szCs w:val="30"/>
        </w:rPr>
        <w:t>阻塞性</w:t>
      </w:r>
      <w:r w:rsidR="008D1635">
        <w:rPr>
          <w:rFonts w:ascii="仿宋_GB2312" w:eastAsia="仿宋_GB2312" w:hAnsi="Times New Roman" w:hint="eastAsia"/>
          <w:color w:val="000000" w:themeColor="text1"/>
          <w:sz w:val="30"/>
          <w:szCs w:val="30"/>
        </w:rPr>
        <w:t>肺疾病、</w:t>
      </w:r>
      <w:r w:rsidR="008D1635">
        <w:rPr>
          <w:rFonts w:ascii="仿宋_GB2312" w:eastAsia="仿宋_GB2312" w:hAnsi="Times New Roman"/>
          <w:color w:val="000000" w:themeColor="text1"/>
          <w:sz w:val="30"/>
          <w:szCs w:val="30"/>
        </w:rPr>
        <w:t>糖尿病</w:t>
      </w:r>
      <w:r w:rsidR="008D1635">
        <w:rPr>
          <w:rFonts w:ascii="仿宋_GB2312" w:eastAsia="仿宋_GB2312" w:hAnsi="Times New Roman" w:hint="eastAsia"/>
          <w:color w:val="000000" w:themeColor="text1"/>
          <w:sz w:val="30"/>
          <w:szCs w:val="30"/>
        </w:rPr>
        <w:t>、</w:t>
      </w:r>
      <w:r w:rsidR="008D1635">
        <w:rPr>
          <w:rFonts w:ascii="仿宋_GB2312" w:eastAsia="仿宋_GB2312" w:hAnsi="Times New Roman"/>
          <w:color w:val="000000" w:themeColor="text1"/>
          <w:sz w:val="30"/>
          <w:szCs w:val="30"/>
        </w:rPr>
        <w:t>神经精神疾病防控技术</w:t>
      </w:r>
      <w:r w:rsidR="008D1635">
        <w:rPr>
          <w:rFonts w:ascii="仿宋_GB2312" w:eastAsia="仿宋_GB2312" w:hAnsi="Times New Roman" w:hint="eastAsia"/>
          <w:color w:val="000000" w:themeColor="text1"/>
          <w:sz w:val="30"/>
          <w:szCs w:val="30"/>
        </w:rPr>
        <w:t>研究</w:t>
      </w:r>
      <w:r w:rsidR="003110A7" w:rsidRPr="001036F4">
        <w:rPr>
          <w:rFonts w:ascii="仿宋_GB2312" w:eastAsia="仿宋_GB2312" w:hAnsi="Times New Roman" w:hint="eastAsia"/>
          <w:color w:val="000000" w:themeColor="text1"/>
          <w:sz w:val="30"/>
          <w:szCs w:val="30"/>
        </w:rPr>
        <w:t>及国际合作研究</w:t>
      </w:r>
      <w:r w:rsidR="008D1635">
        <w:rPr>
          <w:rFonts w:ascii="仿宋_GB2312" w:eastAsia="仿宋_GB2312" w:hAnsi="Times New Roman"/>
          <w:color w:val="000000" w:themeColor="text1"/>
          <w:sz w:val="30"/>
          <w:szCs w:val="30"/>
        </w:rPr>
        <w:t>的</w:t>
      </w:r>
      <w:r w:rsidR="00557031" w:rsidRPr="001036F4">
        <w:rPr>
          <w:rFonts w:ascii="仿宋_GB2312" w:eastAsia="仿宋_GB2312" w:hAnsi="Times New Roman" w:hint="eastAsia"/>
          <w:color w:val="000000" w:themeColor="text1"/>
          <w:sz w:val="30"/>
          <w:szCs w:val="30"/>
        </w:rPr>
        <w:t>六大方向</w:t>
      </w:r>
      <w:r w:rsidR="00456BD7" w:rsidRPr="001036F4">
        <w:rPr>
          <w:rFonts w:ascii="仿宋_GB2312" w:eastAsia="仿宋_GB2312" w:hAnsi="Times New Roman" w:hint="eastAsia"/>
          <w:color w:val="000000" w:themeColor="text1"/>
          <w:sz w:val="30"/>
          <w:szCs w:val="30"/>
        </w:rPr>
        <w:t>继续</w:t>
      </w:r>
      <w:r w:rsidR="00557031" w:rsidRPr="001036F4">
        <w:rPr>
          <w:rFonts w:ascii="仿宋_GB2312" w:eastAsia="仿宋_GB2312" w:hAnsi="Times New Roman" w:hint="eastAsia"/>
          <w:color w:val="000000" w:themeColor="text1"/>
          <w:sz w:val="30"/>
          <w:szCs w:val="30"/>
        </w:rPr>
        <w:t>部署3</w:t>
      </w:r>
      <w:r w:rsidR="0023489C" w:rsidRPr="001036F4">
        <w:rPr>
          <w:rFonts w:ascii="仿宋_GB2312" w:eastAsia="仿宋_GB2312" w:hAnsi="Times New Roman" w:hint="eastAsia"/>
          <w:color w:val="000000" w:themeColor="text1"/>
          <w:sz w:val="30"/>
          <w:szCs w:val="30"/>
        </w:rPr>
        <w:t>4</w:t>
      </w:r>
      <w:r w:rsidR="00557031" w:rsidRPr="001036F4">
        <w:rPr>
          <w:rFonts w:ascii="仿宋_GB2312" w:eastAsia="仿宋_GB2312" w:hAnsi="Times New Roman" w:hint="eastAsia"/>
          <w:color w:val="000000" w:themeColor="text1"/>
          <w:sz w:val="30"/>
          <w:szCs w:val="30"/>
        </w:rPr>
        <w:t>个三级指南方向，项目总概算</w:t>
      </w:r>
      <w:r w:rsidR="00EE0B63" w:rsidRPr="001036F4">
        <w:rPr>
          <w:rFonts w:ascii="仿宋_GB2312" w:eastAsia="仿宋_GB2312" w:hAnsi="Times New Roman" w:hint="eastAsia"/>
          <w:color w:val="000000" w:themeColor="text1"/>
          <w:sz w:val="30"/>
          <w:szCs w:val="30"/>
        </w:rPr>
        <w:t>5</w:t>
      </w:r>
      <w:r w:rsidR="00557031" w:rsidRPr="001036F4">
        <w:rPr>
          <w:rFonts w:ascii="仿宋_GB2312" w:eastAsia="仿宋_GB2312" w:hAnsi="Times New Roman" w:hint="eastAsia"/>
          <w:color w:val="000000" w:themeColor="text1"/>
          <w:sz w:val="30"/>
          <w:szCs w:val="30"/>
        </w:rPr>
        <w:t>亿元。专项实施期4年，2017-2020年。</w:t>
      </w:r>
    </w:p>
    <w:p w14:paraId="61399E93" w14:textId="77777777" w:rsidR="00C73340" w:rsidRPr="001036F4" w:rsidRDefault="00313A02">
      <w:pPr>
        <w:pStyle w:val="1"/>
        <w:numPr>
          <w:ilvl w:val="0"/>
          <w:numId w:val="2"/>
        </w:numPr>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心脑血管疾病防控技术研究</w:t>
      </w:r>
    </w:p>
    <w:p w14:paraId="7A855759"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心脑血管病病因、发病机制及干预技术与策略研究</w:t>
      </w:r>
    </w:p>
    <w:p w14:paraId="6874EB63"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动脉粥样硬化和心力衰竭阻断的关键基础研究</w:t>
      </w:r>
    </w:p>
    <w:p w14:paraId="247186E4" w14:textId="77777777" w:rsidR="00F87C6A" w:rsidRPr="001036F4" w:rsidRDefault="00F87C6A">
      <w:pPr>
        <w:widowControl/>
        <w:shd w:val="clear" w:color="auto" w:fill="FFFFFF"/>
        <w:adjustRightInd w:val="0"/>
        <w:snapToGrid w:val="0"/>
        <w:spacing w:line="360" w:lineRule="auto"/>
        <w:ind w:leftChars="172" w:left="361"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针对心脑血管病发生发展的重要环节动脉粥样硬化和心力衰竭，研究其可逆的关键干预靶点，并评价针</w:t>
      </w:r>
      <w:r w:rsidRPr="001036F4">
        <w:rPr>
          <w:rFonts w:ascii="仿宋_GB2312" w:eastAsia="仿宋_GB2312" w:hAnsi="Times New Roman" w:cs="Arial" w:hint="eastAsia"/>
          <w:color w:val="000000" w:themeColor="text1"/>
          <w:sz w:val="30"/>
          <w:szCs w:val="30"/>
        </w:rPr>
        <w:lastRenderedPageBreak/>
        <w:t>对性干预措施的应用效果。针对动脉粥样硬化及其重要基础脂代谢异常，研究调控机制，深入研究临床表现及其相关的分子机制。针对心血管疾病终末阶段的心力衰竭，明确不同阶段心力衰竭发展各阶段的病理特征，转录特征以及蛋白表达特征。深入研究临床表现及其相关的分子机制。</w:t>
      </w:r>
    </w:p>
    <w:p w14:paraId="3FA44B47" w14:textId="77777777" w:rsidR="00C73340" w:rsidRPr="001036F4" w:rsidRDefault="00313A02">
      <w:pPr>
        <w:widowControl/>
        <w:shd w:val="clear" w:color="auto" w:fill="FFFFFF"/>
        <w:adjustRightInd w:val="0"/>
        <w:snapToGrid w:val="0"/>
        <w:spacing w:line="360" w:lineRule="auto"/>
        <w:ind w:leftChars="172" w:left="361"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获得完善的中国人脂代谢异常、动脉粥样硬化和心力衰竭的临床表型和分子分型；明确脂代谢异常、动脉粥样硬化、心力衰竭发生发展过程中的可干预靶点；申请/获得不少于2项发明专利;在国内外专业期刊发表高质量学术论文不少于10篇。</w:t>
      </w:r>
    </w:p>
    <w:p w14:paraId="1CE8B48B" w14:textId="77777777" w:rsidR="00C73340" w:rsidRPr="001036F4" w:rsidRDefault="00313A02">
      <w:pPr>
        <w:widowControl/>
        <w:shd w:val="clear" w:color="auto" w:fill="FFFFFF"/>
        <w:adjustRightInd w:val="0"/>
        <w:snapToGrid w:val="0"/>
        <w:spacing w:line="360" w:lineRule="auto"/>
        <w:ind w:leftChars="172" w:left="361"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2662F27E" w14:textId="77777777" w:rsidR="00C73340" w:rsidRPr="001036F4" w:rsidRDefault="00313A02">
      <w:pPr>
        <w:widowControl/>
        <w:shd w:val="clear" w:color="auto" w:fill="FFFFFF"/>
        <w:adjustRightInd w:val="0"/>
        <w:snapToGrid w:val="0"/>
        <w:spacing w:line="360" w:lineRule="auto"/>
        <w:ind w:leftChars="172" w:left="361" w:firstLine="585"/>
        <w:jc w:val="left"/>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3CFD95E1"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基于急性脑缺血损伤非人灵长类动物模型的神经损伤与保护研究</w:t>
      </w:r>
    </w:p>
    <w:p w14:paraId="676BA4DD" w14:textId="1AA46181"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利用急性脑缺血损伤的非人灵长类动物模型，开展急性脑缺血损伤后神经保护性药物的作用机制及远期疗效研究，筛选出能改善动物模型神经结构和功能、临床患者有潜在获益可能的神经保护性药物；开展所筛选药物的临床转化研究。并将现有临床使用神经保护剂的疗效再验证，通过科学系统评价验证神经保护性药物临床推广应用的可行性。</w:t>
      </w:r>
    </w:p>
    <w:p w14:paraId="27A0A11B"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构建不少于2个适合不同研究需要并接近临床实际的非人灵长类动物急性脑缺血损伤模型；在此基础上，确立一套神经保护剂治疗非人灵长类动物急性脑缺血损伤近远期效果的行为学、影像学和组织学评价系统；明确急性脑缺血损伤神经</w:t>
      </w:r>
      <w:r w:rsidRPr="001036F4">
        <w:rPr>
          <w:rFonts w:ascii="仿宋_GB2312" w:eastAsia="仿宋_GB2312" w:hAnsi="Times New Roman" w:hint="eastAsia"/>
          <w:color w:val="000000" w:themeColor="text1"/>
          <w:sz w:val="30"/>
          <w:szCs w:val="30"/>
        </w:rPr>
        <w:lastRenderedPageBreak/>
        <w:t>保护性药物的新作用靶点不少于2个，筛选出不少于1种非人灵长类脑缺血动物模型有效、临床可能获益的潜在神经保护性药物；确立目前临床常用神经保护剂有效性评价的可靠新指标不少于2个，为临床推广提供科学依据。</w:t>
      </w:r>
    </w:p>
    <w:p w14:paraId="58515516"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433A0362"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23A0B100"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远隔缺血</w:t>
      </w:r>
      <w:proofErr w:type="gramStart"/>
      <w:r w:rsidR="00E42B7D" w:rsidRPr="001036F4">
        <w:rPr>
          <w:rFonts w:ascii="仿宋_GB2312" w:eastAsia="仿宋_GB2312" w:hAnsi="Times New Roman" w:hint="eastAsia"/>
          <w:color w:val="000000" w:themeColor="text1"/>
          <w:sz w:val="30"/>
          <w:szCs w:val="30"/>
        </w:rPr>
        <w:t>预</w:t>
      </w:r>
      <w:r w:rsidRPr="001036F4">
        <w:rPr>
          <w:rFonts w:ascii="仿宋_GB2312" w:eastAsia="仿宋_GB2312" w:hAnsi="Times New Roman" w:hint="eastAsia"/>
          <w:color w:val="000000" w:themeColor="text1"/>
          <w:sz w:val="30"/>
          <w:szCs w:val="30"/>
        </w:rPr>
        <w:t>适应</w:t>
      </w:r>
      <w:proofErr w:type="gramEnd"/>
      <w:r w:rsidRPr="001036F4">
        <w:rPr>
          <w:rFonts w:ascii="仿宋_GB2312" w:eastAsia="仿宋_GB2312" w:hAnsi="Times New Roman" w:hint="eastAsia"/>
          <w:color w:val="000000" w:themeColor="text1"/>
          <w:sz w:val="30"/>
          <w:szCs w:val="30"/>
        </w:rPr>
        <w:t>对慢性脑缺血损伤的保护作用及转化研究</w:t>
      </w:r>
    </w:p>
    <w:p w14:paraId="66B32424" w14:textId="33565A8A"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通过多中心大样本随机对照临床试验，明确远隔缺血</w:t>
      </w:r>
      <w:r w:rsidR="00E42B7D" w:rsidRPr="001036F4">
        <w:rPr>
          <w:rFonts w:ascii="仿宋_GB2312" w:eastAsia="仿宋_GB2312" w:hAnsi="Times New Roman" w:hint="eastAsia"/>
          <w:color w:val="000000" w:themeColor="text1"/>
          <w:sz w:val="30"/>
          <w:szCs w:val="30"/>
        </w:rPr>
        <w:t>预</w:t>
      </w:r>
      <w:r w:rsidRPr="001036F4">
        <w:rPr>
          <w:rFonts w:ascii="仿宋_GB2312" w:eastAsia="仿宋_GB2312" w:hAnsi="Times New Roman" w:hint="eastAsia"/>
          <w:color w:val="000000" w:themeColor="text1"/>
          <w:sz w:val="30"/>
          <w:szCs w:val="30"/>
        </w:rPr>
        <w:t>适应</w:t>
      </w:r>
      <w:r w:rsidR="00DC3B28" w:rsidRPr="001036F4">
        <w:rPr>
          <w:rFonts w:ascii="仿宋_GB2312" w:eastAsia="仿宋_GB2312" w:hAnsi="Times New Roman" w:hint="eastAsia"/>
          <w:color w:val="000000" w:themeColor="text1"/>
          <w:sz w:val="30"/>
          <w:szCs w:val="30"/>
        </w:rPr>
        <w:t>（将一个器官预先给予一个短暂的非致死性的缺血处理后，可以使其</w:t>
      </w:r>
      <w:proofErr w:type="gramStart"/>
      <w:r w:rsidR="00DC3B28" w:rsidRPr="001036F4">
        <w:rPr>
          <w:rFonts w:ascii="仿宋_GB2312" w:eastAsia="仿宋_GB2312" w:hAnsi="Times New Roman" w:hint="eastAsia"/>
          <w:color w:val="000000" w:themeColor="text1"/>
          <w:sz w:val="30"/>
          <w:szCs w:val="30"/>
        </w:rPr>
        <w:t>对之后</w:t>
      </w:r>
      <w:proofErr w:type="gramEnd"/>
      <w:r w:rsidR="00DC3B28" w:rsidRPr="001036F4">
        <w:rPr>
          <w:rFonts w:ascii="仿宋_GB2312" w:eastAsia="仿宋_GB2312" w:hAnsi="Times New Roman" w:hint="eastAsia"/>
          <w:color w:val="000000" w:themeColor="text1"/>
          <w:sz w:val="30"/>
          <w:szCs w:val="30"/>
        </w:rPr>
        <w:t>的致死性缺血产生耐受，称之为缺血预适应）</w:t>
      </w:r>
      <w:r w:rsidRPr="001036F4">
        <w:rPr>
          <w:rFonts w:ascii="仿宋_GB2312" w:eastAsia="仿宋_GB2312" w:hAnsi="Times New Roman" w:hint="eastAsia"/>
          <w:color w:val="000000" w:themeColor="text1"/>
          <w:sz w:val="30"/>
          <w:szCs w:val="30"/>
        </w:rPr>
        <w:t>训练对慢性脑缺血损伤防治的安全性及有效性；通过远隔缺血适应训练防治慢性脑缺血损伤的蛋白质组学、基因组学、</w:t>
      </w:r>
      <w:proofErr w:type="gramStart"/>
      <w:r w:rsidRPr="001036F4">
        <w:rPr>
          <w:rFonts w:ascii="仿宋_GB2312" w:eastAsia="仿宋_GB2312" w:hAnsi="Times New Roman" w:hint="eastAsia"/>
          <w:color w:val="000000" w:themeColor="text1"/>
          <w:sz w:val="30"/>
          <w:szCs w:val="30"/>
        </w:rPr>
        <w:t>代谢组</w:t>
      </w:r>
      <w:proofErr w:type="gramEnd"/>
      <w:r w:rsidRPr="001036F4">
        <w:rPr>
          <w:rFonts w:ascii="仿宋_GB2312" w:eastAsia="仿宋_GB2312" w:hAnsi="Times New Roman" w:hint="eastAsia"/>
          <w:color w:val="000000" w:themeColor="text1"/>
          <w:sz w:val="30"/>
          <w:szCs w:val="30"/>
        </w:rPr>
        <w:t>学及信号转导通路的研究，揭示远隔缺血适应的</w:t>
      </w:r>
      <w:proofErr w:type="gramStart"/>
      <w:r w:rsidRPr="001036F4">
        <w:rPr>
          <w:rFonts w:ascii="仿宋_GB2312" w:eastAsia="仿宋_GB2312" w:hAnsi="Times New Roman" w:hint="eastAsia"/>
          <w:color w:val="000000" w:themeColor="text1"/>
          <w:sz w:val="30"/>
          <w:szCs w:val="30"/>
        </w:rPr>
        <w:t>脑保护</w:t>
      </w:r>
      <w:proofErr w:type="gramEnd"/>
      <w:r w:rsidRPr="001036F4">
        <w:rPr>
          <w:rFonts w:ascii="仿宋_GB2312" w:eastAsia="仿宋_GB2312" w:hAnsi="Times New Roman" w:hint="eastAsia"/>
          <w:color w:val="000000" w:themeColor="text1"/>
          <w:sz w:val="30"/>
          <w:szCs w:val="30"/>
        </w:rPr>
        <w:t>机制；通过远隔缺血适应防治慢性脑缺血损伤</w:t>
      </w:r>
      <w:proofErr w:type="gramStart"/>
      <w:r w:rsidRPr="001036F4">
        <w:rPr>
          <w:rFonts w:ascii="仿宋_GB2312" w:eastAsia="仿宋_GB2312" w:hAnsi="Times New Roman" w:hint="eastAsia"/>
          <w:color w:val="000000" w:themeColor="text1"/>
          <w:sz w:val="30"/>
          <w:szCs w:val="30"/>
        </w:rPr>
        <w:t>的优效性</w:t>
      </w:r>
      <w:proofErr w:type="gramEnd"/>
      <w:r w:rsidRPr="001036F4">
        <w:rPr>
          <w:rFonts w:ascii="仿宋_GB2312" w:eastAsia="仿宋_GB2312" w:hAnsi="Times New Roman" w:hint="eastAsia"/>
          <w:color w:val="000000" w:themeColor="text1"/>
          <w:sz w:val="30"/>
          <w:szCs w:val="30"/>
        </w:rPr>
        <w:t>研究，探索远隔缺血适应训练防治慢性脑缺血损伤的最佳方案；通过远隔缺血适应防治慢性脑缺血损伤的血液和影像学研究，寻找可用于评价远隔缺血适应训练对慢性脑缺血损伤影响的关键血液及影像标志物;通过上述相关研究获得远隔缺血适应训练的关键参数及最佳方案，进行标准化医疗器械的研发及转化研究。</w:t>
      </w:r>
    </w:p>
    <w:p w14:paraId="017E5C70" w14:textId="0035F673" w:rsidR="00C73340" w:rsidRPr="001036F4" w:rsidRDefault="00313A02">
      <w:pPr>
        <w:adjustRightInd w:val="0"/>
        <w:snapToGrid w:val="0"/>
        <w:spacing w:line="360" w:lineRule="auto"/>
        <w:ind w:firstLineChars="250" w:firstLine="753"/>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明确远隔缺血适应治疗慢性脑缺血患者的安全性、有效性、适应症和相关禁忌症；明确远隔缺血适应</w:t>
      </w:r>
      <w:proofErr w:type="gramStart"/>
      <w:r w:rsidRPr="001036F4">
        <w:rPr>
          <w:rFonts w:ascii="仿宋_GB2312" w:eastAsia="仿宋_GB2312" w:hAnsi="Times New Roman" w:hint="eastAsia"/>
          <w:color w:val="000000" w:themeColor="text1"/>
          <w:sz w:val="30"/>
          <w:szCs w:val="30"/>
        </w:rPr>
        <w:t>脑保护</w:t>
      </w:r>
      <w:proofErr w:type="gramEnd"/>
      <w:r w:rsidRPr="001036F4">
        <w:rPr>
          <w:rFonts w:ascii="仿宋_GB2312" w:eastAsia="仿宋_GB2312" w:hAnsi="Times New Roman" w:hint="eastAsia"/>
          <w:color w:val="000000" w:themeColor="text1"/>
          <w:sz w:val="30"/>
          <w:szCs w:val="30"/>
        </w:rPr>
        <w:t>的主要机制；建立远隔缺血适应训练防治慢性脑缺血损伤的优化方案（包括训练的周期、强度和时长）；发现不少于3种可评价远</w:t>
      </w:r>
      <w:r w:rsidRPr="001036F4">
        <w:rPr>
          <w:rFonts w:ascii="仿宋_GB2312" w:eastAsia="仿宋_GB2312" w:hAnsi="Times New Roman" w:hint="eastAsia"/>
          <w:color w:val="000000" w:themeColor="text1"/>
          <w:sz w:val="30"/>
          <w:szCs w:val="30"/>
        </w:rPr>
        <w:lastRenderedPageBreak/>
        <w:t>隔缺血适应训练治疗慢性脑缺血患者疗效的血液及影像标志物；建立一套完整的慢性缺血性脑血管病非药物防治新方法及实施流程，并纳入国家脑卒中防治指南。</w:t>
      </w:r>
    </w:p>
    <w:p w14:paraId="67ACE29E"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6E7EAE80"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0CF94769"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心脑血管病人群预防控制技术与策略研究</w:t>
      </w:r>
    </w:p>
    <w:p w14:paraId="523531A1"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社区高血压综合管理适宜技术研究</w:t>
      </w:r>
    </w:p>
    <w:p w14:paraId="5DBDC6F4" w14:textId="07458C3F" w:rsidR="00C73340" w:rsidRPr="001036F4" w:rsidRDefault="00F87C6A" w:rsidP="003C1AD7">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兼顾不同地域和经济发展水平，在全国选择有代表性的地区，选取社区，借助移动医疗和互联网等新技术手段，开发适合我国国情的，安全、低价、高效的高血压患者综合管理适宜技术，评价高血压患者管理效果，并在全国不同地域和经济发展水平的不少于5个地区进行示范、推广。建立基于高血压管理适宜技术的应用示范推广平台，拓展、推广管理模式及治疗方案，评价平台对改善医务人员和社区居民高血压防治</w:t>
      </w:r>
      <w:proofErr w:type="gramStart"/>
      <w:r w:rsidRPr="001036F4">
        <w:rPr>
          <w:rFonts w:ascii="仿宋_GB2312" w:eastAsia="仿宋_GB2312" w:hAnsi="Times New Roman" w:cs="Arial" w:hint="eastAsia"/>
          <w:color w:val="000000" w:themeColor="text1"/>
          <w:sz w:val="30"/>
          <w:szCs w:val="30"/>
        </w:rPr>
        <w:t>知识知信行</w:t>
      </w:r>
      <w:proofErr w:type="gramEnd"/>
      <w:r w:rsidRPr="001036F4">
        <w:rPr>
          <w:rFonts w:ascii="仿宋_GB2312" w:eastAsia="仿宋_GB2312" w:hAnsi="Times New Roman" w:cs="Arial" w:hint="eastAsia"/>
          <w:color w:val="000000" w:themeColor="text1"/>
          <w:sz w:val="30"/>
          <w:szCs w:val="30"/>
        </w:rPr>
        <w:t>，以及高血压治疗率和控制率的作用。</w:t>
      </w:r>
    </w:p>
    <w:p w14:paraId="548653D5" w14:textId="77777777" w:rsidR="00C73340" w:rsidRPr="001036F4" w:rsidRDefault="00313A02">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bCs/>
          <w:color w:val="000000" w:themeColor="text1"/>
          <w:sz w:val="30"/>
          <w:szCs w:val="30"/>
        </w:rPr>
        <w:t>考核指标：</w:t>
      </w:r>
      <w:r w:rsidRPr="001036F4">
        <w:rPr>
          <w:rFonts w:ascii="仿宋_GB2312" w:eastAsia="仿宋_GB2312" w:hAnsi="Times New Roman" w:cs="Arial" w:hint="eastAsia"/>
          <w:color w:val="000000" w:themeColor="text1"/>
          <w:sz w:val="30"/>
          <w:szCs w:val="30"/>
        </w:rPr>
        <w:t>建成高血压社区管理新模式；形成适合基层的抗高血压预防心脑血管疾病的治疗方案；建成高血压患者社区管理应用示范推广平台；建成有利于动态评价干预效果的队列不少于3万例；使医务人员和居民高血压防治知识</w:t>
      </w:r>
      <w:proofErr w:type="gramStart"/>
      <w:r w:rsidRPr="001036F4">
        <w:rPr>
          <w:rFonts w:ascii="仿宋_GB2312" w:eastAsia="仿宋_GB2312" w:hAnsi="Times New Roman" w:cs="Arial" w:hint="eastAsia"/>
          <w:color w:val="000000" w:themeColor="text1"/>
          <w:sz w:val="30"/>
          <w:szCs w:val="30"/>
        </w:rPr>
        <w:t>的知信行</w:t>
      </w:r>
      <w:proofErr w:type="gramEnd"/>
      <w:r w:rsidRPr="001036F4">
        <w:rPr>
          <w:rFonts w:ascii="仿宋_GB2312" w:eastAsia="仿宋_GB2312" w:hAnsi="Times New Roman" w:cs="Arial" w:hint="eastAsia"/>
          <w:color w:val="000000" w:themeColor="text1"/>
          <w:sz w:val="30"/>
          <w:szCs w:val="30"/>
        </w:rPr>
        <w:t>水平相对提高20%，高血压的治疗率提高15%，控制率提高10%。</w:t>
      </w:r>
    </w:p>
    <w:p w14:paraId="404B0060" w14:textId="77777777" w:rsidR="00C73340" w:rsidRPr="001036F4" w:rsidRDefault="00313A02">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185A2F3B" w14:textId="77777777" w:rsidR="00C73340" w:rsidRPr="001036F4" w:rsidRDefault="00313A02">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56D2A16E" w14:textId="77777777" w:rsidR="00C73340" w:rsidRPr="001036F4" w:rsidRDefault="00313A02">
      <w:pPr>
        <w:pStyle w:val="3"/>
        <w:adjustRightInd w:val="0"/>
        <w:snapToGrid w:val="0"/>
        <w:ind w:left="1276" w:hanging="851"/>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lastRenderedPageBreak/>
        <w:t>心脑血管疾病高危人群综合筛查与防控及卫生经济学研究</w:t>
      </w:r>
    </w:p>
    <w:p w14:paraId="6987DF3C" w14:textId="3ACE5FFB"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依托慢病防控技术优势单位，开展心脑血管疾病高危人群综合筛查与防治策略、适宜技术和卫生经济学评价研究。研发基于大数据和健康物联网的心脑血管病高危人群筛查与防治信息服务平台，开展心脑血管</w:t>
      </w:r>
      <w:proofErr w:type="gramStart"/>
      <w:r w:rsidRPr="001036F4">
        <w:rPr>
          <w:rFonts w:ascii="仿宋_GB2312" w:eastAsia="仿宋_GB2312" w:hAnsi="Times New Roman" w:hint="eastAsia"/>
          <w:color w:val="000000" w:themeColor="text1"/>
          <w:sz w:val="30"/>
          <w:szCs w:val="30"/>
        </w:rPr>
        <w:t>病综合</w:t>
      </w:r>
      <w:proofErr w:type="gramEnd"/>
      <w:r w:rsidRPr="001036F4">
        <w:rPr>
          <w:rFonts w:ascii="仿宋_GB2312" w:eastAsia="仿宋_GB2312" w:hAnsi="Times New Roman" w:hint="eastAsia"/>
          <w:color w:val="000000" w:themeColor="text1"/>
          <w:sz w:val="30"/>
          <w:szCs w:val="30"/>
        </w:rPr>
        <w:t>防控示范。</w:t>
      </w:r>
      <w:r w:rsidRPr="001036F4">
        <w:rPr>
          <w:rFonts w:ascii="仿宋_GB2312" w:eastAsia="仿宋_GB2312" w:hAnsi="Times New Roman" w:cs="黑体" w:hint="eastAsia"/>
          <w:b/>
          <w:bCs/>
          <w:color w:val="000000" w:themeColor="text1"/>
          <w:sz w:val="30"/>
          <w:szCs w:val="30"/>
        </w:rPr>
        <w:t>建立符合我国国情的心脑血管病防控体系</w:t>
      </w:r>
      <w:r w:rsidRPr="001036F4">
        <w:rPr>
          <w:rFonts w:ascii="仿宋_GB2312" w:eastAsia="仿宋_GB2312" w:hAnsi="Times New Roman" w:hint="eastAsia"/>
          <w:color w:val="000000" w:themeColor="text1"/>
          <w:sz w:val="30"/>
          <w:szCs w:val="30"/>
        </w:rPr>
        <w:t>，</w:t>
      </w:r>
      <w:r w:rsidRPr="001036F4">
        <w:rPr>
          <w:rFonts w:ascii="仿宋_GB2312" w:eastAsia="仿宋_GB2312" w:hAnsi="Times New Roman" w:cs="黑体" w:hint="eastAsia"/>
          <w:b/>
          <w:bCs/>
          <w:color w:val="000000" w:themeColor="text1"/>
          <w:sz w:val="30"/>
          <w:szCs w:val="30"/>
        </w:rPr>
        <w:t>提高心脑血管</w:t>
      </w:r>
      <w:proofErr w:type="gramStart"/>
      <w:r w:rsidRPr="001036F4">
        <w:rPr>
          <w:rFonts w:ascii="仿宋_GB2312" w:eastAsia="仿宋_GB2312" w:hAnsi="Times New Roman" w:cs="黑体" w:hint="eastAsia"/>
          <w:b/>
          <w:bCs/>
          <w:color w:val="000000" w:themeColor="text1"/>
          <w:sz w:val="30"/>
          <w:szCs w:val="30"/>
        </w:rPr>
        <w:t>病综合</w:t>
      </w:r>
      <w:proofErr w:type="gramEnd"/>
      <w:r w:rsidRPr="001036F4">
        <w:rPr>
          <w:rFonts w:ascii="仿宋_GB2312" w:eastAsia="仿宋_GB2312" w:hAnsi="Times New Roman" w:cs="黑体" w:hint="eastAsia"/>
          <w:b/>
          <w:bCs/>
          <w:color w:val="000000" w:themeColor="text1"/>
          <w:sz w:val="30"/>
          <w:szCs w:val="30"/>
        </w:rPr>
        <w:t>防控水平</w:t>
      </w:r>
    </w:p>
    <w:p w14:paraId="1C8BFEAE"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研究制定心脑血管疾病高危人群综合筛查策略和方案；研究集成高危人群防控适宜技术不少于15项，并在10家医院、10个城市社区和10个乡镇开展心脑血管疾病高危人群综合筛查和防控示范研究；搭建起心脑血管病高危人群筛查与防控信息服务平台，获得100万高危人群筛查数据；对高危人群进行干预和随访，提高心脑血管</w:t>
      </w:r>
      <w:proofErr w:type="gramStart"/>
      <w:r w:rsidRPr="001036F4">
        <w:rPr>
          <w:rFonts w:ascii="仿宋_GB2312" w:eastAsia="仿宋_GB2312" w:hAnsi="Times New Roman" w:hint="eastAsia"/>
          <w:color w:val="000000" w:themeColor="text1"/>
          <w:sz w:val="30"/>
          <w:szCs w:val="30"/>
        </w:rPr>
        <w:t>病危险</w:t>
      </w:r>
      <w:proofErr w:type="gramEnd"/>
      <w:r w:rsidRPr="001036F4">
        <w:rPr>
          <w:rFonts w:ascii="仿宋_GB2312" w:eastAsia="仿宋_GB2312" w:hAnsi="Times New Roman" w:hint="eastAsia"/>
          <w:color w:val="000000" w:themeColor="text1"/>
          <w:sz w:val="30"/>
          <w:szCs w:val="30"/>
        </w:rPr>
        <w:t>因素知晓率和控制率，降低心脑血管病终点事件发生率，获得综合防治卫生经济学评价结果。</w:t>
      </w:r>
    </w:p>
    <w:p w14:paraId="41B612AE" w14:textId="77777777" w:rsidR="00C73340" w:rsidRPr="001036F4" w:rsidRDefault="00313A02">
      <w:pPr>
        <w:adjustRightInd w:val="0"/>
        <w:snapToGrid w:val="0"/>
        <w:spacing w:line="360" w:lineRule="auto"/>
        <w:ind w:firstLineChars="200" w:firstLine="602"/>
        <w:rPr>
          <w:rFonts w:ascii="仿宋_GB2312" w:eastAsia="仿宋_GB2312" w:hAnsi="Times New Roman"/>
          <w:b/>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00F78344"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32738A51"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心脑血管病早诊、早治关键技术研究</w:t>
      </w:r>
    </w:p>
    <w:p w14:paraId="158E0B43"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恶性室性心律失常危险分层及早期干预研究</w:t>
      </w:r>
    </w:p>
    <w:p w14:paraId="0552D369" w14:textId="1A44E0B3" w:rsidR="00C73340" w:rsidRPr="001036F4" w:rsidRDefault="00313A02">
      <w:pPr>
        <w:adjustRightInd w:val="0"/>
        <w:snapToGrid w:val="0"/>
        <w:spacing w:line="360" w:lineRule="auto"/>
        <w:ind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针对易发致命性室性心律失常的缺血性心肌病、致心律失常性右室心肌病、扩张性心肌病、肥厚性心肌病以及</w:t>
      </w:r>
      <w:proofErr w:type="spellStart"/>
      <w:r w:rsidRPr="001036F4">
        <w:rPr>
          <w:rFonts w:ascii="仿宋_GB2312" w:eastAsia="仿宋_GB2312" w:hAnsi="Times New Roman" w:cs="Arial" w:hint="eastAsia"/>
          <w:color w:val="000000" w:themeColor="text1"/>
          <w:sz w:val="30"/>
          <w:szCs w:val="30"/>
        </w:rPr>
        <w:t>Brugada</w:t>
      </w:r>
      <w:proofErr w:type="spellEnd"/>
      <w:r w:rsidRPr="001036F4">
        <w:rPr>
          <w:rFonts w:ascii="仿宋_GB2312" w:eastAsia="仿宋_GB2312" w:hAnsi="Times New Roman" w:cs="Arial" w:hint="eastAsia"/>
          <w:color w:val="000000" w:themeColor="text1"/>
          <w:sz w:val="30"/>
          <w:szCs w:val="30"/>
        </w:rPr>
        <w:t>综合征和儿茶酚胺敏感性室速/室颤等，整合心脏影像学、心内电生理检查、器械与导管消融治疗、自主神经干预等临床诊疗信息，研究完善的治疗策略并进行长期随访。根据病种的需求结合临床资料及长期随访临床事件，寻找对恶性心律失常危</w:t>
      </w:r>
      <w:r w:rsidRPr="001036F4">
        <w:rPr>
          <w:rFonts w:ascii="仿宋_GB2312" w:eastAsia="仿宋_GB2312" w:hAnsi="Times New Roman" w:cs="Arial" w:hint="eastAsia"/>
          <w:color w:val="000000" w:themeColor="text1"/>
          <w:sz w:val="30"/>
          <w:szCs w:val="30"/>
        </w:rPr>
        <w:lastRenderedPageBreak/>
        <w:t>险分层、早期诊断、干预策略选择及预后判断相关的信息，实现疾病分类、分型、及治疗策略的选择，为我国恶性室性心律失常患者的规范治疗提供依据</w:t>
      </w:r>
      <w:r w:rsidR="00DC2724" w:rsidRPr="001036F4">
        <w:rPr>
          <w:rFonts w:ascii="仿宋_GB2312" w:eastAsia="仿宋_GB2312" w:hAnsi="Times New Roman" w:cs="Arial" w:hint="eastAsia"/>
          <w:color w:val="000000" w:themeColor="text1"/>
          <w:sz w:val="30"/>
          <w:szCs w:val="30"/>
        </w:rPr>
        <w:t>。</w:t>
      </w:r>
    </w:p>
    <w:p w14:paraId="5585189B" w14:textId="77777777" w:rsidR="00C73340" w:rsidRPr="001036F4" w:rsidRDefault="00313A02">
      <w:pPr>
        <w:adjustRightInd w:val="0"/>
        <w:snapToGrid w:val="0"/>
        <w:spacing w:line="360" w:lineRule="auto"/>
        <w:ind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建成具有完整的影像、电生理检查、治疗预后等临床资料的恶性室性心律失常数据库，制定适合国人的多维度的规范化危险评估体系，确立早期诊断指标，建成新的恶性室性心律失常分类体系和相应的有效治疗策略选择体系。针对不少于3个病种，每个病种发现并验证新的临床或分子危险因素不少于3个，提出不少于2项适合国情的治疗规范化技术。</w:t>
      </w:r>
    </w:p>
    <w:p w14:paraId="6E0DD001" w14:textId="77777777" w:rsidR="00C73340" w:rsidRPr="001036F4" w:rsidRDefault="00313A02">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22F1A8DB" w14:textId="77777777" w:rsidR="00C73340" w:rsidRPr="001036F4" w:rsidRDefault="00313A02">
      <w:pPr>
        <w:widowControl/>
        <w:shd w:val="clear" w:color="auto" w:fill="FFFFFF"/>
        <w:adjustRightInd w:val="0"/>
        <w:snapToGrid w:val="0"/>
        <w:spacing w:line="360" w:lineRule="auto"/>
        <w:ind w:firstLine="585"/>
        <w:jc w:val="left"/>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2BE7A204"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重大心脑血管病急救体系、临床诊疗技术、策略及评价研究</w:t>
      </w:r>
    </w:p>
    <w:p w14:paraId="703F3FBA"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急性主动脉综合征高危预警及干预研究</w:t>
      </w:r>
    </w:p>
    <w:p w14:paraId="457CBF53"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针对高死亡率、高致残率的急性主动脉综合征，构建高危预警模型，指导治疗策略选择；针对累及冠脉、弓部和腹腔分支动脉以及严重合并症的复杂主动脉急症患者，对比研究多种介入微创的辅助技术、介入和外科复合技术和传统外科手术的疗效，形成并推广最优临床治疗策略和技术组合。</w:t>
      </w:r>
    </w:p>
    <w:p w14:paraId="5DC4BDA0"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建成急性主动脉综合征高危预警模型，通过5家以上的大型血管外科中心的临床实践来评价其可靠性；获得3种以上针对复杂急性主动脉疾病患者治疗技术的评价，建立优化临床治疗策略和技术组合，为指南制定提供依据，临床应用不低于1000例;住院费用降低5%、住院死亡率降低3%，推广</w:t>
      </w:r>
      <w:r w:rsidRPr="001036F4">
        <w:rPr>
          <w:rFonts w:ascii="仿宋_GB2312" w:eastAsia="仿宋_GB2312" w:hAnsi="Times New Roman" w:cs="Arial" w:hint="eastAsia"/>
          <w:color w:val="000000" w:themeColor="text1"/>
          <w:sz w:val="30"/>
          <w:szCs w:val="30"/>
        </w:rPr>
        <w:lastRenderedPageBreak/>
        <w:t>医院超过20家。</w:t>
      </w:r>
    </w:p>
    <w:p w14:paraId="5189BA08" w14:textId="218B4232" w:rsidR="00C73340" w:rsidRDefault="00313A0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519C726B" w14:textId="77777777" w:rsidR="000836D2" w:rsidRPr="001036F4" w:rsidRDefault="000836D2" w:rsidP="000836D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2BB29994"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复杂先天性右心畸形诊疗技术和效果评价及推广研究</w:t>
      </w:r>
    </w:p>
    <w:p w14:paraId="7DBA7FFB"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结合多元化影像</w:t>
      </w:r>
      <w:proofErr w:type="gramStart"/>
      <w:r w:rsidRPr="001036F4">
        <w:rPr>
          <w:rFonts w:ascii="仿宋_GB2312" w:eastAsia="仿宋_GB2312" w:hAnsi="Times New Roman" w:cs="Arial" w:hint="eastAsia"/>
          <w:color w:val="000000" w:themeColor="text1"/>
          <w:sz w:val="30"/>
          <w:szCs w:val="30"/>
        </w:rPr>
        <w:t>学评价</w:t>
      </w:r>
      <w:proofErr w:type="gramEnd"/>
      <w:r w:rsidRPr="001036F4">
        <w:rPr>
          <w:rFonts w:ascii="仿宋_GB2312" w:eastAsia="仿宋_GB2312" w:hAnsi="Times New Roman" w:cs="Arial" w:hint="eastAsia"/>
          <w:color w:val="000000" w:themeColor="text1"/>
          <w:sz w:val="30"/>
          <w:szCs w:val="30"/>
        </w:rPr>
        <w:t>手段，对常用的复杂先天性右心畸形的外科术式和术后生活质量进行评价，包括肺动脉瓣返流和右心室功能、同期手术结合介入的复合技术对肺血管发育的促进等，从而确定其疗效并推广应用，提高复杂右心畸形治疗的整体成功率和存活率。</w:t>
      </w:r>
    </w:p>
    <w:p w14:paraId="76CCA961"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建成国人复杂先心病术后右心功能评价标准；形成优化的复杂右心畸形外科术后再干预方案；在20家以上医院中开展多学科结合的复杂右心畸形的复合诊疗技术；两种常见右心畸形包括肺动脉闭锁的解剖根治率提高15%，以及法鲁氏四联症的</w:t>
      </w:r>
      <w:proofErr w:type="gramStart"/>
      <w:r w:rsidRPr="001036F4">
        <w:rPr>
          <w:rFonts w:ascii="仿宋_GB2312" w:eastAsia="仿宋_GB2312" w:hAnsi="Times New Roman" w:cs="Arial" w:hint="eastAsia"/>
          <w:color w:val="000000" w:themeColor="text1"/>
          <w:sz w:val="30"/>
          <w:szCs w:val="30"/>
        </w:rPr>
        <w:t>远期再</w:t>
      </w:r>
      <w:proofErr w:type="gramEnd"/>
      <w:r w:rsidRPr="001036F4">
        <w:rPr>
          <w:rFonts w:ascii="仿宋_GB2312" w:eastAsia="仿宋_GB2312" w:hAnsi="Times New Roman" w:cs="Arial" w:hint="eastAsia"/>
          <w:color w:val="000000" w:themeColor="text1"/>
          <w:sz w:val="30"/>
          <w:szCs w:val="30"/>
        </w:rPr>
        <w:t>手术率降低20%， 从而改善复杂右心畸形患者的生存质量。</w:t>
      </w:r>
    </w:p>
    <w:p w14:paraId="22DA26DD" w14:textId="5F6CF590" w:rsidR="00C23323" w:rsidRPr="001036F4" w:rsidRDefault="00313A02" w:rsidP="00893CB3">
      <w:pPr>
        <w:adjustRightInd w:val="0"/>
        <w:snapToGrid w:val="0"/>
        <w:spacing w:line="360" w:lineRule="auto"/>
        <w:ind w:leftChars="86" w:left="181" w:firstLineChars="200" w:firstLine="602"/>
        <w:rPr>
          <w:rFonts w:ascii="仿宋_GB2312" w:eastAsia="仿宋_GB2312" w:hAnsi="Times New Roman" w:cs="Arial"/>
          <w:b/>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010CB540" w14:textId="17E0B706" w:rsidR="00C73340" w:rsidRPr="001036F4" w:rsidRDefault="00313A02" w:rsidP="00893CB3">
      <w:pPr>
        <w:adjustRightInd w:val="0"/>
        <w:snapToGrid w:val="0"/>
        <w:spacing w:line="360" w:lineRule="auto"/>
        <w:ind w:leftChars="86" w:left="181" w:firstLineChars="200" w:firstLine="602"/>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5F920727"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国产溶栓药物治疗急性缺血性卒中安全性、有效性及卫生经济学研究</w:t>
      </w:r>
    </w:p>
    <w:p w14:paraId="00295823" w14:textId="6B838F5E"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研究并探讨轻型卒中发病急性期静脉溶栓治疗的必要性及安全性；通过系列登记研究明确价格低廉的国产溶栓药物对比经典重组组织型纤溶酶原激活剂（</w:t>
      </w:r>
      <w:proofErr w:type="spellStart"/>
      <w:r w:rsidRPr="001036F4">
        <w:rPr>
          <w:rFonts w:ascii="仿宋_GB2312" w:eastAsia="仿宋_GB2312" w:hAnsi="Times New Roman" w:hint="eastAsia"/>
          <w:color w:val="000000" w:themeColor="text1"/>
          <w:sz w:val="30"/>
          <w:szCs w:val="30"/>
        </w:rPr>
        <w:t>rt</w:t>
      </w:r>
      <w:proofErr w:type="spellEnd"/>
      <w:r w:rsidRPr="001036F4">
        <w:rPr>
          <w:rFonts w:ascii="仿宋_GB2312" w:eastAsia="仿宋_GB2312" w:hAnsi="Times New Roman" w:hint="eastAsia"/>
          <w:color w:val="000000" w:themeColor="text1"/>
          <w:sz w:val="30"/>
          <w:szCs w:val="30"/>
        </w:rPr>
        <w:t>-PA）在急性轻型卒中患者应用的安全性和有效性，并开展卫生经济学评价；通过多</w:t>
      </w:r>
      <w:r w:rsidRPr="001036F4">
        <w:rPr>
          <w:rFonts w:ascii="仿宋_GB2312" w:eastAsia="仿宋_GB2312" w:hAnsi="Times New Roman" w:hint="eastAsia"/>
          <w:color w:val="000000" w:themeColor="text1"/>
          <w:sz w:val="30"/>
          <w:szCs w:val="30"/>
        </w:rPr>
        <w:lastRenderedPageBreak/>
        <w:t>中心随机对照试验明确半衰期更长的新一代靶向溶栓药物在急性缺血性卒中患者扩大时间窗（从3小时至4.5小时）应用的安全性及有效性。</w:t>
      </w:r>
    </w:p>
    <w:p w14:paraId="4D26E40C" w14:textId="72157A8A" w:rsidR="00C73340" w:rsidRPr="001036F4" w:rsidRDefault="00313A02">
      <w:pPr>
        <w:pStyle w:val="12"/>
        <w:adjustRightInd w:val="0"/>
        <w:snapToGrid w:val="0"/>
        <w:spacing w:line="360" w:lineRule="auto"/>
        <w:ind w:firstLine="602"/>
        <w:rPr>
          <w:rFonts w:ascii="仿宋_GB2312" w:eastAsia="仿宋_GB2312" w:hAnsi="Times New Roman" w:cs="Times New Roman"/>
          <w:color w:val="000000" w:themeColor="text1"/>
          <w:sz w:val="30"/>
          <w:szCs w:val="30"/>
        </w:rPr>
      </w:pPr>
      <w:r w:rsidRPr="001036F4">
        <w:rPr>
          <w:rFonts w:ascii="仿宋_GB2312" w:eastAsia="仿宋_GB2312" w:hAnsi="Times New Roman" w:cs="Times New Roman" w:hint="eastAsia"/>
          <w:b/>
          <w:color w:val="000000" w:themeColor="text1"/>
          <w:sz w:val="30"/>
          <w:szCs w:val="30"/>
        </w:rPr>
        <w:t>考核指标：</w:t>
      </w:r>
      <w:r w:rsidRPr="001036F4">
        <w:rPr>
          <w:rFonts w:ascii="仿宋_GB2312" w:eastAsia="仿宋_GB2312" w:hAnsi="Times New Roman" w:cs="Times New Roman" w:hint="eastAsia"/>
          <w:color w:val="000000" w:themeColor="text1"/>
          <w:sz w:val="30"/>
          <w:szCs w:val="30"/>
        </w:rPr>
        <w:t>获得轻型卒中急性期静脉溶栓治疗必要性及安全性循证医学证据；明确国产溶栓药物在急性轻型卒中患者中使用的适应症和禁忌症，与</w:t>
      </w:r>
      <w:proofErr w:type="spellStart"/>
      <w:r w:rsidRPr="001036F4">
        <w:rPr>
          <w:rFonts w:ascii="仿宋_GB2312" w:eastAsia="仿宋_GB2312" w:hAnsi="Times New Roman" w:cs="Times New Roman" w:hint="eastAsia"/>
          <w:color w:val="000000" w:themeColor="text1"/>
          <w:sz w:val="30"/>
          <w:szCs w:val="30"/>
        </w:rPr>
        <w:t>rt</w:t>
      </w:r>
      <w:proofErr w:type="spellEnd"/>
      <w:r w:rsidRPr="001036F4">
        <w:rPr>
          <w:rFonts w:ascii="仿宋_GB2312" w:eastAsia="仿宋_GB2312" w:hAnsi="Times New Roman" w:cs="Times New Roman" w:hint="eastAsia"/>
          <w:color w:val="000000" w:themeColor="text1"/>
          <w:sz w:val="30"/>
          <w:szCs w:val="30"/>
        </w:rPr>
        <w:t>-PA相比</w:t>
      </w:r>
      <w:proofErr w:type="gramStart"/>
      <w:r w:rsidRPr="001036F4">
        <w:rPr>
          <w:rFonts w:ascii="仿宋_GB2312" w:eastAsia="仿宋_GB2312" w:hAnsi="Times New Roman" w:cs="Times New Roman" w:hint="eastAsia"/>
          <w:color w:val="000000" w:themeColor="text1"/>
          <w:sz w:val="30"/>
          <w:szCs w:val="30"/>
        </w:rPr>
        <w:t>在非劣效的</w:t>
      </w:r>
      <w:proofErr w:type="gramEnd"/>
      <w:r w:rsidRPr="001036F4">
        <w:rPr>
          <w:rFonts w:ascii="仿宋_GB2312" w:eastAsia="仿宋_GB2312" w:hAnsi="Times New Roman" w:cs="Times New Roman" w:hint="eastAsia"/>
          <w:color w:val="000000" w:themeColor="text1"/>
          <w:sz w:val="30"/>
          <w:szCs w:val="30"/>
        </w:rPr>
        <w:t>前提下使医疗花费大幅降低；获得</w:t>
      </w:r>
      <w:r w:rsidRPr="001036F4">
        <w:rPr>
          <w:rFonts w:ascii="仿宋_GB2312" w:eastAsia="仿宋_GB2312" w:hAnsi="Times New Roman" w:hint="eastAsia"/>
          <w:color w:val="000000" w:themeColor="text1"/>
          <w:sz w:val="30"/>
          <w:szCs w:val="30"/>
        </w:rPr>
        <w:t>新一代靶向溶栓药物扩大时间</w:t>
      </w:r>
      <w:proofErr w:type="gramStart"/>
      <w:r w:rsidRPr="001036F4">
        <w:rPr>
          <w:rFonts w:ascii="仿宋_GB2312" w:eastAsia="仿宋_GB2312" w:hAnsi="Times New Roman" w:hint="eastAsia"/>
          <w:color w:val="000000" w:themeColor="text1"/>
          <w:sz w:val="30"/>
          <w:szCs w:val="30"/>
        </w:rPr>
        <w:t>窗应用</w:t>
      </w:r>
      <w:proofErr w:type="gramEnd"/>
      <w:r w:rsidRPr="001036F4">
        <w:rPr>
          <w:rFonts w:ascii="仿宋_GB2312" w:eastAsia="仿宋_GB2312" w:hAnsi="Times New Roman" w:hint="eastAsia"/>
          <w:color w:val="000000" w:themeColor="text1"/>
          <w:sz w:val="30"/>
          <w:szCs w:val="30"/>
        </w:rPr>
        <w:t>的循证证据，</w:t>
      </w:r>
      <w:r w:rsidRPr="001036F4">
        <w:rPr>
          <w:rFonts w:ascii="仿宋_GB2312" w:eastAsia="仿宋_GB2312" w:hAnsi="Times New Roman" w:cs="Times New Roman" w:hint="eastAsia"/>
          <w:color w:val="000000" w:themeColor="text1"/>
          <w:sz w:val="30"/>
          <w:szCs w:val="30"/>
        </w:rPr>
        <w:t>与对照组安慰剂相比，使急性卒中90天致残率和致死率相对降低至少10%。</w:t>
      </w:r>
    </w:p>
    <w:p w14:paraId="68077614" w14:textId="77777777" w:rsidR="00C73340" w:rsidRPr="001036F4" w:rsidRDefault="00313A02">
      <w:pPr>
        <w:pStyle w:val="12"/>
        <w:adjustRightInd w:val="0"/>
        <w:snapToGrid w:val="0"/>
        <w:spacing w:line="360" w:lineRule="auto"/>
        <w:ind w:firstLine="602"/>
        <w:rPr>
          <w:rFonts w:ascii="仿宋_GB2312" w:eastAsia="仿宋_GB2312" w:hAnsi="Times New Roman" w:cs="Times New Roman"/>
          <w:color w:val="000000" w:themeColor="text1"/>
          <w:sz w:val="30"/>
          <w:szCs w:val="30"/>
        </w:rPr>
      </w:pPr>
      <w:r w:rsidRPr="001036F4">
        <w:rPr>
          <w:rFonts w:ascii="仿宋_GB2312" w:eastAsia="仿宋_GB2312" w:hAnsi="Times New Roman" w:cs="Times New Roman" w:hint="eastAsia"/>
          <w:b/>
          <w:color w:val="000000" w:themeColor="text1"/>
          <w:sz w:val="30"/>
          <w:szCs w:val="30"/>
        </w:rPr>
        <w:t>支持年限：</w:t>
      </w:r>
      <w:r w:rsidRPr="001036F4">
        <w:rPr>
          <w:rFonts w:ascii="仿宋_GB2312" w:eastAsia="仿宋_GB2312" w:hAnsi="Times New Roman" w:cs="Times New Roman" w:hint="eastAsia"/>
          <w:color w:val="000000" w:themeColor="text1"/>
          <w:sz w:val="30"/>
          <w:szCs w:val="30"/>
        </w:rPr>
        <w:t>2017-2020年</w:t>
      </w:r>
    </w:p>
    <w:p w14:paraId="0149BDB4"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04FF4D1B"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症状性颅内外大动脉狭窄复发进展预测模型与干预策略研究</w:t>
      </w:r>
    </w:p>
    <w:p w14:paraId="513DA674"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开展</w:t>
      </w:r>
      <w:proofErr w:type="gramStart"/>
      <w:r w:rsidRPr="001036F4">
        <w:rPr>
          <w:rFonts w:ascii="仿宋_GB2312" w:eastAsia="仿宋_GB2312" w:hAnsi="Times New Roman" w:hint="eastAsia"/>
          <w:color w:val="000000" w:themeColor="text1"/>
          <w:sz w:val="30"/>
          <w:szCs w:val="30"/>
        </w:rPr>
        <w:t>颅</w:t>
      </w:r>
      <w:proofErr w:type="gramEnd"/>
      <w:r w:rsidRPr="001036F4">
        <w:rPr>
          <w:rFonts w:ascii="仿宋_GB2312" w:eastAsia="仿宋_GB2312" w:hAnsi="Times New Roman" w:hint="eastAsia"/>
          <w:color w:val="000000" w:themeColor="text1"/>
          <w:sz w:val="30"/>
          <w:szCs w:val="30"/>
        </w:rPr>
        <w:t>内外大动脉狭窄结构与功能的综合评估关键技术与应用研究，探索其复发进展的预测模型；开展</w:t>
      </w:r>
      <w:proofErr w:type="gramStart"/>
      <w:r w:rsidRPr="001036F4">
        <w:rPr>
          <w:rFonts w:ascii="仿宋_GB2312" w:eastAsia="仿宋_GB2312" w:hAnsi="Times New Roman" w:hint="eastAsia"/>
          <w:color w:val="000000" w:themeColor="text1"/>
          <w:sz w:val="30"/>
          <w:szCs w:val="30"/>
        </w:rPr>
        <w:t>颅</w:t>
      </w:r>
      <w:proofErr w:type="gramEnd"/>
      <w:r w:rsidRPr="001036F4">
        <w:rPr>
          <w:rFonts w:ascii="仿宋_GB2312" w:eastAsia="仿宋_GB2312" w:hAnsi="Times New Roman" w:hint="eastAsia"/>
          <w:color w:val="000000" w:themeColor="text1"/>
          <w:sz w:val="30"/>
          <w:szCs w:val="30"/>
        </w:rPr>
        <w:t>内外大动脉狭窄易损特征的新一代影像诊断技术研发与转化应用研究；前瞻性</w:t>
      </w:r>
      <w:proofErr w:type="gramStart"/>
      <w:r w:rsidRPr="001036F4">
        <w:rPr>
          <w:rFonts w:ascii="仿宋_GB2312" w:eastAsia="仿宋_GB2312" w:hAnsi="Times New Roman" w:hint="eastAsia"/>
          <w:color w:val="000000" w:themeColor="text1"/>
          <w:sz w:val="30"/>
          <w:szCs w:val="30"/>
        </w:rPr>
        <w:t>探索高</w:t>
      </w:r>
      <w:proofErr w:type="gramEnd"/>
      <w:r w:rsidRPr="001036F4">
        <w:rPr>
          <w:rFonts w:ascii="仿宋_GB2312" w:eastAsia="仿宋_GB2312" w:hAnsi="Times New Roman" w:hint="eastAsia"/>
          <w:color w:val="000000" w:themeColor="text1"/>
          <w:sz w:val="30"/>
          <w:szCs w:val="30"/>
        </w:rPr>
        <w:t>分辨磁共振血管壁成像技术对颅内外动脉疾病预后的预测价值；开展</w:t>
      </w:r>
      <w:proofErr w:type="gramStart"/>
      <w:r w:rsidRPr="001036F4">
        <w:rPr>
          <w:rFonts w:ascii="仿宋_GB2312" w:eastAsia="仿宋_GB2312" w:hAnsi="Times New Roman" w:hint="eastAsia"/>
          <w:color w:val="000000" w:themeColor="text1"/>
          <w:sz w:val="30"/>
          <w:szCs w:val="30"/>
        </w:rPr>
        <w:t>颅</w:t>
      </w:r>
      <w:proofErr w:type="gramEnd"/>
      <w:r w:rsidRPr="001036F4">
        <w:rPr>
          <w:rFonts w:ascii="仿宋_GB2312" w:eastAsia="仿宋_GB2312" w:hAnsi="Times New Roman" w:hint="eastAsia"/>
          <w:color w:val="000000" w:themeColor="text1"/>
          <w:sz w:val="30"/>
          <w:szCs w:val="30"/>
        </w:rPr>
        <w:t>内外大动脉狭窄患者高危易损特征的早期识别和最佳防治方案的随机对照试验研究。</w:t>
      </w:r>
    </w:p>
    <w:p w14:paraId="45278478" w14:textId="77777777" w:rsidR="00C73340" w:rsidRPr="001036F4" w:rsidRDefault="00313A02">
      <w:pPr>
        <w:pStyle w:val="12"/>
        <w:adjustRightInd w:val="0"/>
        <w:snapToGrid w:val="0"/>
        <w:spacing w:line="360" w:lineRule="auto"/>
        <w:ind w:firstLine="602"/>
        <w:rPr>
          <w:rFonts w:ascii="仿宋_GB2312" w:eastAsia="仿宋_GB2312" w:hAnsi="Times New Roman" w:cs="Times New Roman"/>
          <w:color w:val="000000" w:themeColor="text1"/>
          <w:sz w:val="30"/>
          <w:szCs w:val="30"/>
        </w:rPr>
      </w:pPr>
      <w:r w:rsidRPr="001036F4">
        <w:rPr>
          <w:rFonts w:ascii="仿宋_GB2312" w:eastAsia="仿宋_GB2312" w:hAnsi="Times New Roman" w:cs="Times New Roman" w:hint="eastAsia"/>
          <w:b/>
          <w:color w:val="000000" w:themeColor="text1"/>
          <w:sz w:val="30"/>
          <w:szCs w:val="30"/>
        </w:rPr>
        <w:t>考核指标：</w:t>
      </w:r>
      <w:r w:rsidRPr="001036F4">
        <w:rPr>
          <w:rFonts w:ascii="仿宋_GB2312" w:eastAsia="仿宋_GB2312" w:hAnsi="Times New Roman" w:cs="Times New Roman" w:hint="eastAsia"/>
          <w:color w:val="000000" w:themeColor="text1"/>
          <w:sz w:val="30"/>
          <w:szCs w:val="30"/>
        </w:rPr>
        <w:t>确立血管结构和功能相关因素在症状性颅内外大动脉狭窄患者临床复发进展中的作用，获得血管结构和功能对大动脉狭窄的自然病程和治疗预后的预测价值；开发基于高场磁共振技术的颅内外大动脉易损斑块成像方法和分析软件，申报专利不少于3项；建立</w:t>
      </w:r>
      <w:proofErr w:type="gramStart"/>
      <w:r w:rsidRPr="001036F4">
        <w:rPr>
          <w:rFonts w:ascii="仿宋_GB2312" w:eastAsia="仿宋_GB2312" w:hAnsi="Times New Roman" w:cs="Times New Roman" w:hint="eastAsia"/>
          <w:color w:val="000000" w:themeColor="text1"/>
          <w:sz w:val="30"/>
          <w:szCs w:val="30"/>
        </w:rPr>
        <w:t>颅</w:t>
      </w:r>
      <w:proofErr w:type="gramEnd"/>
      <w:r w:rsidRPr="001036F4">
        <w:rPr>
          <w:rFonts w:ascii="仿宋_GB2312" w:eastAsia="仿宋_GB2312" w:hAnsi="Times New Roman" w:cs="Times New Roman" w:hint="eastAsia"/>
          <w:color w:val="000000" w:themeColor="text1"/>
          <w:sz w:val="30"/>
          <w:szCs w:val="30"/>
        </w:rPr>
        <w:t>内外大动脉易损斑块的最佳影像学筛查路径；</w:t>
      </w:r>
      <w:r w:rsidRPr="001036F4">
        <w:rPr>
          <w:rFonts w:ascii="仿宋_GB2312" w:eastAsia="仿宋_GB2312" w:hAnsi="Times New Roman" w:cs="Times New Roman" w:hint="eastAsia"/>
          <w:color w:val="000000" w:themeColor="text1"/>
          <w:sz w:val="30"/>
          <w:szCs w:val="30"/>
        </w:rPr>
        <w:lastRenderedPageBreak/>
        <w:t>建立高分辨磁共振技术参数对卒中预后的预测模型；建立高分辨磁共振影像与血液标记物预警指标体系；获得基于管壁易损特征的最佳药物干预策略循证医学证据。</w:t>
      </w:r>
    </w:p>
    <w:p w14:paraId="1811BF65" w14:textId="77777777" w:rsidR="00C73340" w:rsidRPr="001036F4" w:rsidRDefault="00313A02">
      <w:pPr>
        <w:pStyle w:val="12"/>
        <w:adjustRightInd w:val="0"/>
        <w:snapToGrid w:val="0"/>
        <w:spacing w:line="360" w:lineRule="auto"/>
        <w:ind w:firstLine="602"/>
        <w:rPr>
          <w:rFonts w:ascii="仿宋_GB2312" w:eastAsia="仿宋_GB2312" w:hAnsi="Times New Roman" w:cs="Times New Roman"/>
          <w:color w:val="000000" w:themeColor="text1"/>
          <w:sz w:val="30"/>
          <w:szCs w:val="30"/>
        </w:rPr>
      </w:pPr>
      <w:r w:rsidRPr="001036F4">
        <w:rPr>
          <w:rFonts w:ascii="仿宋_GB2312" w:eastAsia="仿宋_GB2312" w:hAnsi="Times New Roman" w:cs="Times New Roman" w:hint="eastAsia"/>
          <w:b/>
          <w:color w:val="000000" w:themeColor="text1"/>
          <w:sz w:val="30"/>
          <w:szCs w:val="30"/>
        </w:rPr>
        <w:t>支持年限：</w:t>
      </w:r>
      <w:r w:rsidRPr="001036F4">
        <w:rPr>
          <w:rFonts w:ascii="仿宋_GB2312" w:eastAsia="仿宋_GB2312" w:hAnsi="Times New Roman" w:cs="Times New Roman" w:hint="eastAsia"/>
          <w:color w:val="000000" w:themeColor="text1"/>
          <w:sz w:val="30"/>
          <w:szCs w:val="30"/>
        </w:rPr>
        <w:t>2017-2020年</w:t>
      </w:r>
    </w:p>
    <w:p w14:paraId="7BE84A53"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19783AAE"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重大心脑血管病康复和长期管理研究</w:t>
      </w:r>
    </w:p>
    <w:p w14:paraId="346FE7AC" w14:textId="77777777" w:rsidR="00C73340" w:rsidRPr="001036F4" w:rsidRDefault="00313A02">
      <w:pPr>
        <w:pStyle w:val="3"/>
        <w:numPr>
          <w:ilvl w:val="2"/>
          <w:numId w:val="3"/>
        </w:numPr>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慢性心力衰竭长期管理有效性比较研究</w:t>
      </w:r>
    </w:p>
    <w:p w14:paraId="44178FBF" w14:textId="3D0AE92F"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 xml:space="preserve">研究内容: </w:t>
      </w:r>
      <w:r w:rsidRPr="001036F4">
        <w:rPr>
          <w:rFonts w:ascii="仿宋_GB2312" w:eastAsia="仿宋_GB2312" w:hAnsi="Times New Roman" w:hint="eastAsia"/>
          <w:color w:val="000000" w:themeColor="text1"/>
          <w:sz w:val="30"/>
          <w:szCs w:val="30"/>
        </w:rPr>
        <w:t>针对慢性心力衰竭患者难于长期管理、心力衰竭再住院率和死亡率居高不下、社会和医疗负担巨大等世界性难题，探索适合国人的慢性心力衰竭逐级防控体系；利用互联网，移动医疗和云平台等现代信息技术搭建慢性心力衰竭网络化、数字化长期随访管理平台；摸索和建立适合国人的慢性心力衰竭的分级诊疗和转诊模式；建立国人慢性心力衰竭长期管理的疗效评价和质量控制体系；探索包括药物治疗、运动康复、心理指导、生活方式等综合、立体、全方位的管理措施，建立多途径、多角度的适合国人的慢性心力衰竭的综合治疗、管理和监测手段；开展慢性心力衰竭管理的循证研究；制定慢性心力衰竭长期管理和监测的指南和共识。</w:t>
      </w:r>
    </w:p>
    <w:p w14:paraId="56F25931" w14:textId="35E93DED" w:rsidR="00C73340" w:rsidRPr="001036F4" w:rsidRDefault="00313A02">
      <w:pPr>
        <w:adjustRightInd w:val="0"/>
        <w:snapToGrid w:val="0"/>
        <w:spacing w:line="360" w:lineRule="auto"/>
        <w:ind w:firstLineChars="200" w:firstLine="60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考核指标：建成由三级、二级医院、社区医院以及家庭共同构成的慢性心力衰竭逐级防控体系，在全国建成慢性心力衰竭规范化诊疗示范中心不少于30家和与之相依托的慢性心力衰竭规范化诊疗示范社区不少于150家；建成全国慢性心力衰竭大数据监测、管理平台，获得不少于３万例慢性心衰患者2年的管理监测数据；形成一套适合国人的慢性心力衰竭的社区、二级医院、</w:t>
      </w:r>
      <w:r w:rsidRPr="001036F4">
        <w:rPr>
          <w:rFonts w:ascii="仿宋_GB2312" w:eastAsia="仿宋_GB2312" w:hAnsi="Times New Roman" w:hint="eastAsia"/>
          <w:color w:val="000000" w:themeColor="text1"/>
          <w:sz w:val="30"/>
          <w:szCs w:val="30"/>
        </w:rPr>
        <w:lastRenderedPageBreak/>
        <w:t>三级医院分级诊疗和双向转诊模式和规则；撰写一部慢性心力衰竭随访、管理和监测的中国指南；设计不少于2个多中心随机对照试验，进行慢性心力衰竭随访管理体系的验证，使慢性心力衰竭再住院率和死亡率的降低不少于10%。</w:t>
      </w:r>
    </w:p>
    <w:p w14:paraId="2A549F98"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0B7B4830"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138D153C" w14:textId="77777777" w:rsidR="00C73340" w:rsidRPr="001036F4" w:rsidRDefault="00313A02">
      <w:pPr>
        <w:pStyle w:val="3"/>
        <w:numPr>
          <w:ilvl w:val="2"/>
          <w:numId w:val="3"/>
        </w:numPr>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脑血管病康复适宜技术的研究、推广及评价</w:t>
      </w:r>
    </w:p>
    <w:p w14:paraId="26745054" w14:textId="66016C10" w:rsidR="00C73340" w:rsidRPr="001036F4" w:rsidRDefault="00313A02">
      <w:pPr>
        <w:widowControl/>
        <w:shd w:val="clear" w:color="auto" w:fill="FFFFFF"/>
        <w:adjustRightInd w:val="0"/>
        <w:snapToGrid w:val="0"/>
        <w:spacing w:line="360" w:lineRule="auto"/>
        <w:ind w:firstLineChars="200" w:firstLine="602"/>
        <w:rPr>
          <w:rFonts w:ascii="仿宋_GB2312" w:eastAsia="仿宋_GB2312" w:hAnsi="Times New Roman"/>
          <w:b/>
          <w:bCs/>
          <w:color w:val="000000" w:themeColor="text1"/>
          <w:kern w:val="0"/>
          <w:sz w:val="30"/>
          <w:szCs w:val="30"/>
        </w:rPr>
      </w:pPr>
      <w:r w:rsidRPr="001036F4">
        <w:rPr>
          <w:rFonts w:ascii="仿宋_GB2312" w:eastAsia="仿宋_GB2312" w:hAnsi="Times New Roman" w:hint="eastAsia"/>
          <w:b/>
          <w:bCs/>
          <w:color w:val="000000" w:themeColor="text1"/>
          <w:kern w:val="0"/>
          <w:sz w:val="30"/>
          <w:szCs w:val="30"/>
        </w:rPr>
        <w:t>研究内容：</w:t>
      </w:r>
      <w:r w:rsidRPr="001036F4">
        <w:rPr>
          <w:rFonts w:ascii="仿宋_GB2312" w:eastAsia="仿宋_GB2312" w:hAnsi="Times New Roman" w:hint="eastAsia"/>
          <w:color w:val="000000" w:themeColor="text1"/>
          <w:kern w:val="0"/>
          <w:sz w:val="30"/>
          <w:szCs w:val="30"/>
        </w:rPr>
        <w:t>开展基于智能康复设备、神经电生理及影像学技术的脑可塑性及</w:t>
      </w:r>
      <w:proofErr w:type="gramStart"/>
      <w:r w:rsidRPr="001036F4">
        <w:rPr>
          <w:rFonts w:ascii="仿宋_GB2312" w:eastAsia="仿宋_GB2312" w:hAnsi="Times New Roman" w:hint="eastAsia"/>
          <w:color w:val="000000" w:themeColor="text1"/>
          <w:kern w:val="0"/>
          <w:sz w:val="30"/>
          <w:szCs w:val="30"/>
        </w:rPr>
        <w:t>脑网络</w:t>
      </w:r>
      <w:proofErr w:type="gramEnd"/>
      <w:r w:rsidRPr="001036F4">
        <w:rPr>
          <w:rFonts w:ascii="仿宋_GB2312" w:eastAsia="仿宋_GB2312" w:hAnsi="Times New Roman" w:hint="eastAsia"/>
          <w:color w:val="000000" w:themeColor="text1"/>
          <w:kern w:val="0"/>
          <w:sz w:val="30"/>
          <w:szCs w:val="30"/>
        </w:rPr>
        <w:t>重建的干预技术研究；建立覆盖全国的从三级医院、康复专科医院到社区医院及家庭的脑血管病康复管理体系，实现对患者的持续、全方位、个体化康复管理，开展与该体系配套的康复适宜设备研发和康复技术推广</w:t>
      </w:r>
      <w:r w:rsidR="00DE3EFC" w:rsidRPr="001036F4">
        <w:rPr>
          <w:rFonts w:ascii="仿宋_GB2312" w:eastAsia="仿宋_GB2312" w:hAnsi="Times New Roman" w:hint="eastAsia"/>
          <w:color w:val="000000" w:themeColor="text1"/>
          <w:kern w:val="0"/>
          <w:sz w:val="30"/>
          <w:szCs w:val="30"/>
        </w:rPr>
        <w:t>，</w:t>
      </w:r>
      <w:r w:rsidRPr="001036F4">
        <w:rPr>
          <w:rFonts w:ascii="仿宋_GB2312" w:eastAsia="仿宋_GB2312" w:hAnsi="Times New Roman" w:hint="eastAsia"/>
          <w:color w:val="000000" w:themeColor="text1"/>
          <w:kern w:val="0"/>
          <w:sz w:val="30"/>
          <w:szCs w:val="30"/>
        </w:rPr>
        <w:t>并对其效果进行系统评价。</w:t>
      </w:r>
    </w:p>
    <w:p w14:paraId="573A5C77" w14:textId="77777777" w:rsidR="00C73340" w:rsidRPr="001036F4" w:rsidRDefault="00313A02">
      <w:pPr>
        <w:widowControl/>
        <w:shd w:val="clear" w:color="auto" w:fill="FFFFFF"/>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kern w:val="0"/>
          <w:sz w:val="30"/>
          <w:szCs w:val="30"/>
        </w:rPr>
        <w:t>考核指标：</w:t>
      </w:r>
      <w:r w:rsidRPr="001036F4">
        <w:rPr>
          <w:rFonts w:ascii="仿宋_GB2312" w:eastAsia="仿宋_GB2312" w:hAnsi="Times New Roman" w:hint="eastAsia"/>
          <w:color w:val="000000" w:themeColor="text1"/>
          <w:kern w:val="0"/>
          <w:sz w:val="30"/>
          <w:szCs w:val="30"/>
        </w:rPr>
        <w:t>探索不少于2项可行的脑可塑性及</w:t>
      </w:r>
      <w:proofErr w:type="gramStart"/>
      <w:r w:rsidRPr="001036F4">
        <w:rPr>
          <w:rFonts w:ascii="仿宋_GB2312" w:eastAsia="仿宋_GB2312" w:hAnsi="Times New Roman" w:hint="eastAsia"/>
          <w:color w:val="000000" w:themeColor="text1"/>
          <w:kern w:val="0"/>
          <w:sz w:val="30"/>
          <w:szCs w:val="30"/>
        </w:rPr>
        <w:t>脑网络</w:t>
      </w:r>
      <w:proofErr w:type="gramEnd"/>
      <w:r w:rsidRPr="001036F4">
        <w:rPr>
          <w:rFonts w:ascii="仿宋_GB2312" w:eastAsia="仿宋_GB2312" w:hAnsi="Times New Roman" w:hint="eastAsia"/>
          <w:color w:val="000000" w:themeColor="text1"/>
          <w:kern w:val="0"/>
          <w:sz w:val="30"/>
          <w:szCs w:val="30"/>
        </w:rPr>
        <w:t>重建干预技术或手段；</w:t>
      </w:r>
      <w:r w:rsidRPr="001036F4">
        <w:rPr>
          <w:rFonts w:ascii="仿宋_GB2312" w:eastAsia="仿宋_GB2312" w:hAnsi="Times New Roman" w:hint="eastAsia"/>
          <w:color w:val="000000" w:themeColor="text1"/>
          <w:sz w:val="30"/>
          <w:szCs w:val="30"/>
        </w:rPr>
        <w:t>建成覆盖全国不同地区至少500家各级医院、康复机构及家庭的脑血管病患者整体康复管理体系，推广不少于8项科学、实用、高效的分别适用于三级医院、康复专科医院、社区及家庭的康复适宜技术，进行不少于4项智能化康复适宜设备的研发并实现产品转化。</w:t>
      </w:r>
    </w:p>
    <w:p w14:paraId="74FA12AD"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kern w:val="0"/>
          <w:sz w:val="30"/>
          <w:szCs w:val="30"/>
        </w:rPr>
      </w:pPr>
      <w:r w:rsidRPr="001036F4">
        <w:rPr>
          <w:rFonts w:ascii="仿宋_GB2312" w:eastAsia="仿宋_GB2312" w:hAnsi="Times New Roman" w:hint="eastAsia"/>
          <w:b/>
          <w:color w:val="000000" w:themeColor="text1"/>
          <w:kern w:val="0"/>
          <w:sz w:val="30"/>
          <w:szCs w:val="30"/>
        </w:rPr>
        <w:t>支持年限：</w:t>
      </w:r>
      <w:r w:rsidRPr="001036F4">
        <w:rPr>
          <w:rFonts w:ascii="仿宋_GB2312" w:eastAsia="仿宋_GB2312" w:hAnsi="Times New Roman" w:hint="eastAsia"/>
          <w:color w:val="000000" w:themeColor="text1"/>
          <w:kern w:val="0"/>
          <w:sz w:val="30"/>
          <w:szCs w:val="30"/>
        </w:rPr>
        <w:t>2017-2020年</w:t>
      </w:r>
    </w:p>
    <w:p w14:paraId="38AB61B2"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21CFC468" w14:textId="77777777" w:rsidR="00C73340" w:rsidRPr="001036F4" w:rsidRDefault="00313A02">
      <w:pPr>
        <w:pStyle w:val="1"/>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lastRenderedPageBreak/>
        <w:t>恶性肿瘤防控技术研究</w:t>
      </w:r>
    </w:p>
    <w:p w14:paraId="3AAE7BFC" w14:textId="77777777" w:rsidR="00C73340" w:rsidRPr="001036F4" w:rsidRDefault="00313A02">
      <w:pPr>
        <w:pStyle w:val="2"/>
        <w:adjustRightInd w:val="0"/>
        <w:snapToGrid w:val="0"/>
        <w:rPr>
          <w:rFonts w:ascii="仿宋_GB2312" w:eastAsia="仿宋_GB2312" w:hAnsi="Times New Roman"/>
          <w:bCs w:val="0"/>
          <w:color w:val="000000" w:themeColor="text1"/>
          <w:szCs w:val="30"/>
        </w:rPr>
      </w:pPr>
      <w:r w:rsidRPr="001036F4">
        <w:rPr>
          <w:rFonts w:ascii="仿宋_GB2312" w:eastAsia="仿宋_GB2312" w:hAnsi="Times New Roman" w:hint="eastAsia"/>
          <w:color w:val="000000" w:themeColor="text1"/>
          <w:szCs w:val="30"/>
        </w:rPr>
        <w:t>恶性肿瘤发生及复发、转移的分子基础研究</w:t>
      </w:r>
    </w:p>
    <w:p w14:paraId="52D740D9"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恶性肿瘤转移及复发的分子基础研究</w:t>
      </w:r>
    </w:p>
    <w:p w14:paraId="26DF978E"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：针对严重危害我国人民健康的恶性肿瘤，以组学技术（基因组学、</w:t>
      </w:r>
      <w:proofErr w:type="gramStart"/>
      <w:r w:rsidRPr="001036F4">
        <w:rPr>
          <w:rFonts w:ascii="仿宋_GB2312" w:eastAsia="仿宋_GB2312" w:hAnsi="Times New Roman" w:hint="eastAsia"/>
          <w:color w:val="000000" w:themeColor="text1"/>
          <w:sz w:val="30"/>
          <w:szCs w:val="30"/>
        </w:rPr>
        <w:t>转录组</w:t>
      </w:r>
      <w:proofErr w:type="gramEnd"/>
      <w:r w:rsidRPr="001036F4">
        <w:rPr>
          <w:rFonts w:ascii="仿宋_GB2312" w:eastAsia="仿宋_GB2312" w:hAnsi="Times New Roman" w:hint="eastAsia"/>
          <w:color w:val="000000" w:themeColor="text1"/>
          <w:sz w:val="30"/>
          <w:szCs w:val="30"/>
        </w:rPr>
        <w:t>学（含RNA可变</w:t>
      </w:r>
      <w:proofErr w:type="gramStart"/>
      <w:r w:rsidRPr="001036F4">
        <w:rPr>
          <w:rFonts w:ascii="仿宋_GB2312" w:eastAsia="仿宋_GB2312" w:hAnsi="Times New Roman" w:hint="eastAsia"/>
          <w:color w:val="000000" w:themeColor="text1"/>
          <w:sz w:val="30"/>
          <w:szCs w:val="30"/>
        </w:rPr>
        <w:t>剪接组</w:t>
      </w:r>
      <w:proofErr w:type="gramEnd"/>
      <w:r w:rsidRPr="001036F4">
        <w:rPr>
          <w:rFonts w:ascii="仿宋_GB2312" w:eastAsia="仿宋_GB2312" w:hAnsi="Times New Roman" w:hint="eastAsia"/>
          <w:color w:val="000000" w:themeColor="text1"/>
          <w:sz w:val="30"/>
          <w:szCs w:val="30"/>
        </w:rPr>
        <w:t>学）、蛋白质组学、</w:t>
      </w:r>
      <w:proofErr w:type="gramStart"/>
      <w:r w:rsidRPr="001036F4">
        <w:rPr>
          <w:rFonts w:ascii="仿宋_GB2312" w:eastAsia="仿宋_GB2312" w:hAnsi="Times New Roman" w:hint="eastAsia"/>
          <w:color w:val="000000" w:themeColor="text1"/>
          <w:sz w:val="30"/>
          <w:szCs w:val="30"/>
        </w:rPr>
        <w:t>代谢组</w:t>
      </w:r>
      <w:proofErr w:type="gramEnd"/>
      <w:r w:rsidRPr="001036F4">
        <w:rPr>
          <w:rFonts w:ascii="仿宋_GB2312" w:eastAsia="仿宋_GB2312" w:hAnsi="Times New Roman" w:hint="eastAsia"/>
          <w:color w:val="000000" w:themeColor="text1"/>
          <w:sz w:val="30"/>
          <w:szCs w:val="30"/>
        </w:rPr>
        <w:t>学等大数据）为基础，研究肿瘤转移不同阶段分子改变特征及其关键分子的作用及机制；研究基因组DNA畸变及转录异常（含RNA可变剪接）、蛋白修饰异常在肿瘤转移及复发过程中的作用及其机制。</w:t>
      </w:r>
    </w:p>
    <w:p w14:paraId="6AC5EA71"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在不少于5个（含5个）在肿瘤转移或复发过程中重要驱动因子（基因及蛋白、关键非编码RNA、RNA可变剪接模式、蛋白修饰等）作用机制方面取得重要突破性发现，为肿瘤转移或复发提供新的理论假说，为研发可用于肿瘤转移或复发预警和干预肿瘤转移或复发的新技术或新产品提供重要基础；在国内外专业期刊发表高质量学术论文不少于10篇。</w:t>
      </w:r>
    </w:p>
    <w:p w14:paraId="45BFD24F"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6AF3F1D8"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2B91E0CF"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恶性肿瘤早期筛查和干预技术研究</w:t>
      </w:r>
    </w:p>
    <w:p w14:paraId="166A2A10"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肺癌筛查和干预技术研究</w:t>
      </w:r>
    </w:p>
    <w:p w14:paraId="01DC5885"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开展基于影像学和分子标志物等的肺癌筛查和干预新技术、新方法研究；对较为成熟的筛查和干预技术，在全国选取有代表性的省份和地区，覆盖一定规模的人群，开展多中心的筛查和干预随机对照试验，以评估不同筛查及干预技术方案的有效性。</w:t>
      </w:r>
    </w:p>
    <w:p w14:paraId="7D3C9C56"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lastRenderedPageBreak/>
        <w:t>考核指标：</w:t>
      </w:r>
      <w:r w:rsidRPr="001036F4">
        <w:rPr>
          <w:rFonts w:ascii="仿宋_GB2312" w:eastAsia="仿宋_GB2312" w:hAnsi="Times New Roman" w:hint="eastAsia"/>
          <w:color w:val="000000" w:themeColor="text1"/>
          <w:sz w:val="30"/>
          <w:szCs w:val="30"/>
        </w:rPr>
        <w:t>开发出不少于2项可用于肺癌早期筛查和干预的新技术，申请专利等知识产权不少于2项；针对社区高危人群、以及医疗机构机会性筛查，建立不少于2项适合于中国人群的肺癌筛查和干预技术方案。</w:t>
      </w:r>
    </w:p>
    <w:p w14:paraId="19468E07"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42C3539F"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5A6BD3A0"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大肠肿瘤筛查和干预技术研究</w:t>
      </w:r>
    </w:p>
    <w:p w14:paraId="75A28B4C" w14:textId="77777777" w:rsidR="00C73340" w:rsidRPr="001036F4" w:rsidRDefault="00313A02">
      <w:pPr>
        <w:adjustRightInd w:val="0"/>
        <w:snapToGrid w:val="0"/>
        <w:spacing w:line="360" w:lineRule="auto"/>
        <w:ind w:firstLine="420"/>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针对大肠肿瘤，开展基于内镜和分子标志物等的筛查和干预的新技术、新方法研究；对较为成熟的筛查和干预技术，在全国选取至少7个以上有代表性的省份和地区，覆盖一定规模（5万以上）的人群，开展多中心的筛查和干预随机对照试验，评估不同筛查及干预技术方案的有效性，探讨不同组合方案和筛查模式的筛查效率。</w:t>
      </w:r>
    </w:p>
    <w:p w14:paraId="77C6CB35" w14:textId="77777777" w:rsidR="00C73340" w:rsidRPr="001036F4" w:rsidRDefault="00313A02">
      <w:pPr>
        <w:adjustRightInd w:val="0"/>
        <w:snapToGrid w:val="0"/>
        <w:spacing w:line="360" w:lineRule="auto"/>
        <w:ind w:firstLine="420"/>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建立至少5万人以上的大肠肿瘤筛查队列；开发出不少于3项可用于大肠肿瘤早期筛查和干预的新技术；申请专利等知识产权不少于2项；针对高危人群以及医疗机构机会性筛查，建立不少于2项适合于中国人群的大肠肿瘤筛查干预技术和方案，向全国推广使用；建立多学科研究队伍。</w:t>
      </w:r>
    </w:p>
    <w:p w14:paraId="206E9FF9" w14:textId="77777777" w:rsidR="00C73340" w:rsidRPr="001036F4" w:rsidRDefault="00313A02">
      <w:pPr>
        <w:adjustRightInd w:val="0"/>
        <w:snapToGrid w:val="0"/>
        <w:spacing w:line="360" w:lineRule="auto"/>
        <w:ind w:firstLine="645"/>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4EFBE6B4" w14:textId="77777777" w:rsidR="00C73340" w:rsidRPr="001036F4" w:rsidRDefault="00313A02">
      <w:pPr>
        <w:adjustRightInd w:val="0"/>
        <w:snapToGrid w:val="0"/>
        <w:spacing w:line="360" w:lineRule="auto"/>
        <w:ind w:firstLine="645"/>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30CE59AA"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恶性肿瘤临床诊疗关键技术研究</w:t>
      </w:r>
    </w:p>
    <w:p w14:paraId="7752932A" w14:textId="77777777" w:rsidR="00C73340" w:rsidRPr="001036F4" w:rsidRDefault="00313A02">
      <w:pPr>
        <w:pStyle w:val="3"/>
        <w:numPr>
          <w:ilvl w:val="2"/>
          <w:numId w:val="3"/>
        </w:numPr>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恶性肿瘤靶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新技术研究</w:t>
      </w:r>
    </w:p>
    <w:p w14:paraId="35E4AC3E" w14:textId="502284D4"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选择工作基础较好、危害性较大的我国主要恶性肿瘤，利用前期大样本或大数据的研究结果，开展具有应用</w:t>
      </w:r>
      <w:r w:rsidRPr="001036F4">
        <w:rPr>
          <w:rFonts w:ascii="仿宋_GB2312" w:eastAsia="仿宋_GB2312" w:hAnsi="Times New Roman" w:hint="eastAsia"/>
          <w:color w:val="000000" w:themeColor="text1"/>
          <w:sz w:val="30"/>
          <w:szCs w:val="30"/>
        </w:rPr>
        <w:lastRenderedPageBreak/>
        <w:t>价值的肿瘤治疗潜在靶点发掘与关键技术研发；利用现有小分子抑制剂、单克隆抗体，或者研发其它靶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新技术，开展目的靶点的干预研究，以及多中心的验证；开展靶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的生物标记物研究，以及相关技术方法和产品的研发。</w:t>
      </w:r>
    </w:p>
    <w:p w14:paraId="20B09546"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鉴定出不少于5个具有应用价值的肿瘤治疗靶点，建立有效的靶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干预策略，完成不少于3项新型靶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的临床前研究与早期临床研究，至少完成1项多中心、大样本的临床研究，建立不少于5项可指导靶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的新技术，开发出不少于2项临床检测新产品。</w:t>
      </w:r>
    </w:p>
    <w:p w14:paraId="315B7499"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1C94E714"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1771A769"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恶性肿瘤分子病理和分子细胞学新技术研究</w:t>
      </w:r>
    </w:p>
    <w:p w14:paraId="7E302302"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基于前期工作发现的诊疗生物标志物，开展基于肿瘤组织、体液（包括血液、尿液等）、游离肿瘤DNA、循环肿瘤细胞等分子病理和分子细胞学技术研究并对相关诊疗及预警标志物进行验证；在对新技术进行评估的基础上，开展早期诊断、复发监测、放化疗及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疗效评估及动态监测技术研究，产品和平台开发。</w:t>
      </w:r>
    </w:p>
    <w:p w14:paraId="17BC08F4" w14:textId="574E8B5C"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研发出不少于3项基于分子病理和分子细胞学的覆盖肿瘤早期诊断、复发监测、放化疗及靶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疗效评估及动态监测技术方法并开发相关产品；开发不少于2项具有自主知识产权的检测技术平台；发现并验证肿瘤放化疗及靶</w:t>
      </w:r>
      <w:proofErr w:type="gramStart"/>
      <w:r w:rsidRPr="001036F4">
        <w:rPr>
          <w:rFonts w:ascii="仿宋_GB2312" w:eastAsia="仿宋_GB2312" w:hAnsi="Times New Roman" w:hint="eastAsia"/>
          <w:color w:val="000000" w:themeColor="text1"/>
          <w:sz w:val="30"/>
          <w:szCs w:val="30"/>
        </w:rPr>
        <w:t>向治疗</w:t>
      </w:r>
      <w:proofErr w:type="gramEnd"/>
      <w:r w:rsidRPr="001036F4">
        <w:rPr>
          <w:rFonts w:ascii="仿宋_GB2312" w:eastAsia="仿宋_GB2312" w:hAnsi="Times New Roman" w:hint="eastAsia"/>
          <w:color w:val="000000" w:themeColor="text1"/>
          <w:sz w:val="30"/>
          <w:szCs w:val="30"/>
        </w:rPr>
        <w:t>原发耐药及继发耐药预警分子标志物，实现分子分型；规范分子病理检测最优化流程及诊治，减低患者医疗负担。</w:t>
      </w:r>
    </w:p>
    <w:p w14:paraId="23B02A9F"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lastRenderedPageBreak/>
        <w:t>支持年限：</w:t>
      </w:r>
      <w:r w:rsidRPr="001036F4">
        <w:rPr>
          <w:rFonts w:ascii="仿宋_GB2312" w:eastAsia="仿宋_GB2312" w:hAnsi="Times New Roman" w:hint="eastAsia"/>
          <w:color w:val="000000" w:themeColor="text1"/>
          <w:sz w:val="30"/>
          <w:szCs w:val="30"/>
        </w:rPr>
        <w:t>2017-2020年</w:t>
      </w:r>
    </w:p>
    <w:p w14:paraId="385FCF28"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4E9B109D"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恶性肿瘤分子影像新技术研究</w:t>
      </w:r>
    </w:p>
    <w:p w14:paraId="2DD94422"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开展多模态分子影像等关键技术研究（例如多模态分子影像成像理论和重建算法，多源影像信息融合与计算机平台及多模态成像系统建立及验证，多功能、多靶点及高特异性的分子探针构建和优化等）；开展以影像学图像特征信息挖掘为主体的诊断及疗效评估的影像组学新方法的研究，采用新一代多模态分子影像及影像组学技术，以规模化的临床样本为基础，构建并应用高灵敏度、高特异性的多</w:t>
      </w:r>
      <w:proofErr w:type="gramStart"/>
      <w:r w:rsidRPr="001036F4">
        <w:rPr>
          <w:rFonts w:ascii="仿宋_GB2312" w:eastAsia="仿宋_GB2312" w:hAnsi="Times New Roman" w:hint="eastAsia"/>
          <w:color w:val="000000" w:themeColor="text1"/>
          <w:sz w:val="30"/>
          <w:szCs w:val="30"/>
        </w:rPr>
        <w:t>模分子</w:t>
      </w:r>
      <w:proofErr w:type="gramEnd"/>
      <w:r w:rsidRPr="001036F4">
        <w:rPr>
          <w:rFonts w:ascii="仿宋_GB2312" w:eastAsia="仿宋_GB2312" w:hAnsi="Times New Roman" w:hint="eastAsia"/>
          <w:color w:val="000000" w:themeColor="text1"/>
          <w:sz w:val="30"/>
          <w:szCs w:val="30"/>
        </w:rPr>
        <w:t>影像探针，获取分子影像、结构影像和功能影像等多源影像信息，并结合患者基因和临床指标信息，深入挖掘和筛选出与恶性肿瘤诊疗高度相关的影像组学特征集，并构建基于影像组学特征集的恶性肿瘤诊断、疗效评价和预测的方法体系。</w:t>
      </w:r>
    </w:p>
    <w:p w14:paraId="031791D0"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研发出不少于3个基于组织特异性的多模态分子影像成像数学模型和高维重建方法；获得不少于5个具有临床应用价值的分子影像探针；发现并验证与恶性肿瘤诊断、预后判断高度相关的不少于5个影像组学特征集，每个特征集不少于20个关键特征，并构建基于影像组学特征集的分析系统，实现在肿瘤疗效预测及评估中的初步应用；建立不少于3个包括功能影像学在内的常见肿瘤疗后随诊方案。申请发明专利至少不少于4项。</w:t>
      </w:r>
    </w:p>
    <w:p w14:paraId="3A419AA6"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01D6B418"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24C7A269"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lastRenderedPageBreak/>
        <w:t>恶性肿瘤姑息治疗和护理关键技术研究</w:t>
      </w:r>
    </w:p>
    <w:p w14:paraId="19AE57A3"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恶性肿瘤姑息治疗和护理关键技术研究</w:t>
      </w:r>
    </w:p>
    <w:p w14:paraId="5064C940" w14:textId="77777777" w:rsidR="00C73340" w:rsidRPr="001036F4" w:rsidRDefault="00313A02">
      <w:pPr>
        <w:adjustRightInd w:val="0"/>
        <w:snapToGrid w:val="0"/>
        <w:spacing w:line="360" w:lineRule="auto"/>
        <w:ind w:firstLineChars="200" w:firstLine="602"/>
        <w:jc w:val="left"/>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围绕2-3种我国常见恶性肿瘤，开展基于药物、物理、心理学等手段的疼痛控制新技术和新方法研究；开展疼痛评估新方法研究；开展镇痛药物剂量调整、联合应用及交替应用的研究；开展镇痛药物主要副作用（耐受和成瘾等）预防和处理的新方法研究；开展患者营养风险因素、营养治疗技术、营养途径及其效果评估研究；开展住院肿瘤患者护理技术和延续护理模式研究。</w:t>
      </w:r>
    </w:p>
    <w:p w14:paraId="45898F91" w14:textId="77777777" w:rsidR="00C73340" w:rsidRPr="001036F4" w:rsidRDefault="00313A02">
      <w:pPr>
        <w:adjustRightInd w:val="0"/>
        <w:snapToGrid w:val="0"/>
        <w:spacing w:line="360" w:lineRule="auto"/>
        <w:ind w:firstLineChars="200" w:firstLine="602"/>
        <w:jc w:val="left"/>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建立不少于2项更加有效的恶性肿瘤疼痛控制技术和方法，建立不少于2项疼痛评估、镇痛药物剂量调整、联合应用、交替应用和副作用预防处理的新方法。建立2-3项适用于不同类型肿瘤患者的营养风险评估指标、模型及营养指南，制定出不少于2项可推广的癌症患者心理干预指南；开发出不少于2项有效防止住院肿瘤患者血栓形成的护理技术；构建出住院化疗癌症患者延续护理模式。</w:t>
      </w:r>
    </w:p>
    <w:p w14:paraId="4955760E" w14:textId="77777777" w:rsidR="00C73340" w:rsidRPr="001036F4" w:rsidRDefault="00313A02">
      <w:pPr>
        <w:adjustRightInd w:val="0"/>
        <w:snapToGrid w:val="0"/>
        <w:spacing w:line="360" w:lineRule="auto"/>
        <w:ind w:firstLineChars="200" w:firstLine="602"/>
        <w:jc w:val="left"/>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6E9EE2C1" w14:textId="77777777" w:rsidR="00C73340" w:rsidRPr="001036F4" w:rsidRDefault="00313A02">
      <w:pPr>
        <w:adjustRightInd w:val="0"/>
        <w:snapToGrid w:val="0"/>
        <w:spacing w:line="360" w:lineRule="auto"/>
        <w:ind w:firstLineChars="200" w:firstLine="602"/>
        <w:jc w:val="left"/>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606E06FD" w14:textId="77777777" w:rsidR="00C73340" w:rsidRPr="001036F4" w:rsidRDefault="00313A02">
      <w:pPr>
        <w:pStyle w:val="1"/>
        <w:adjustRightInd w:val="0"/>
        <w:snapToGrid w:val="0"/>
        <w:ind w:left="644" w:hanging="392"/>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慢阻肺防控技术研究</w:t>
      </w:r>
    </w:p>
    <w:p w14:paraId="780F01EE"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慢阻肺的病因与发病机制研究</w:t>
      </w:r>
    </w:p>
    <w:p w14:paraId="72CA087C"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细菌和病毒感染对慢阻肺急性加重的影响和机制研究</w:t>
      </w:r>
    </w:p>
    <w:p w14:paraId="4BB47528"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在现有研究基础上，开展慢阻肺气道微生物组学动态变化与急性加重关系研究；开展慢阻肺稳定期和急性加重</w:t>
      </w:r>
      <w:r w:rsidRPr="001036F4">
        <w:rPr>
          <w:rFonts w:ascii="仿宋_GB2312" w:eastAsia="仿宋_GB2312" w:hAnsi="Times New Roman" w:cs="Arial" w:hint="eastAsia"/>
          <w:color w:val="000000" w:themeColor="text1"/>
          <w:sz w:val="30"/>
          <w:szCs w:val="30"/>
        </w:rPr>
        <w:lastRenderedPageBreak/>
        <w:t>期细菌／病毒交互作用机制研究；开展中重度慢阻肺患者下呼吸道去定植对减少急性加重的作用机制和效果研究；开展慢阻肺急性加重中西医联合抗感染作用机制和效果研究。</w:t>
      </w:r>
    </w:p>
    <w:p w14:paraId="64FF5FF6"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明确慢阻肺</w:t>
      </w:r>
      <w:proofErr w:type="gramStart"/>
      <w:r w:rsidRPr="001036F4">
        <w:rPr>
          <w:rFonts w:ascii="仿宋_GB2312" w:eastAsia="仿宋_GB2312" w:hAnsi="Times New Roman" w:cs="Arial" w:hint="eastAsia"/>
          <w:color w:val="000000" w:themeColor="text1"/>
          <w:sz w:val="30"/>
          <w:szCs w:val="30"/>
        </w:rPr>
        <w:t>下气道</w:t>
      </w:r>
      <w:proofErr w:type="gramEnd"/>
      <w:r w:rsidRPr="001036F4">
        <w:rPr>
          <w:rFonts w:ascii="仿宋_GB2312" w:eastAsia="仿宋_GB2312" w:hAnsi="Times New Roman" w:cs="Arial" w:hint="eastAsia"/>
          <w:color w:val="000000" w:themeColor="text1"/>
          <w:sz w:val="30"/>
          <w:szCs w:val="30"/>
        </w:rPr>
        <w:t>不少于1种重要细菌或病毒动态变化规律，以及细菌／病毒交互作用，并揭示其与急性加重的关系；研发不少于1项中重度慢阻肺下呼吸道去定植技术；揭示不少于1种慢阻肺急性加重中西医联合抗感染作用机制。</w:t>
      </w:r>
    </w:p>
    <w:p w14:paraId="341157CE" w14:textId="77777777" w:rsidR="00C73340" w:rsidRPr="001036F4" w:rsidRDefault="00313A02">
      <w:pPr>
        <w:adjustRightInd w:val="0"/>
        <w:snapToGrid w:val="0"/>
        <w:spacing w:line="360" w:lineRule="auto"/>
        <w:ind w:firstLine="480"/>
        <w:rPr>
          <w:rFonts w:ascii="仿宋_GB2312" w:eastAsia="仿宋_GB2312" w:hAnsi="Times New Roman"/>
          <w:bCs/>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hint="eastAsia"/>
          <w:bCs/>
          <w:color w:val="000000" w:themeColor="text1"/>
          <w:sz w:val="30"/>
          <w:szCs w:val="30"/>
        </w:rPr>
        <w:t xml:space="preserve">2017-2020年  </w:t>
      </w:r>
    </w:p>
    <w:p w14:paraId="186241D8" w14:textId="77777777" w:rsidR="00C73340" w:rsidRPr="001036F4" w:rsidRDefault="00313A02">
      <w:pPr>
        <w:adjustRightInd w:val="0"/>
        <w:snapToGrid w:val="0"/>
        <w:spacing w:line="360" w:lineRule="auto"/>
        <w:ind w:firstLine="480"/>
        <w:rPr>
          <w:rFonts w:ascii="仿宋_GB2312" w:eastAsia="仿宋_GB2312" w:hAnsi="Times New Roman"/>
          <w:bCs/>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hint="eastAsia"/>
          <w:bCs/>
          <w:color w:val="000000" w:themeColor="text1"/>
          <w:sz w:val="30"/>
          <w:szCs w:val="30"/>
        </w:rPr>
        <w:t>1-2项</w:t>
      </w:r>
    </w:p>
    <w:p w14:paraId="0C84C44D"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慢阻肺人群预防控制技术与策略研究</w:t>
      </w:r>
    </w:p>
    <w:p w14:paraId="5C6B86BA"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医院、社区戒烟模式及干预技术研究</w:t>
      </w:r>
    </w:p>
    <w:p w14:paraId="241C75B9" w14:textId="77777777" w:rsidR="00C73340" w:rsidRPr="001036F4" w:rsidRDefault="00313A02">
      <w:pPr>
        <w:adjustRightInd w:val="0"/>
        <w:snapToGrid w:val="0"/>
        <w:spacing w:line="360" w:lineRule="auto"/>
        <w:ind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针对吸烟这一重大危险因素，在现有大型研究队列、基线数据的追访队列、社区动态跟踪队列的基础上，开展烟草依赖的基因组和表型研究，探索烟草依赖的临床分型及细化治疗办法；开展针对慢阻肺高危和疾病人群的个体化戒烟治疗研究；建立覆盖全国的烟草依赖诊治网络；建立基于医院和社区的戒烟应用示范推广平台，拓展、推广烟草依赖管理模式及治疗方案；开展基于大数据或互联网或移动医疗等新科技信息手段的烟草依赖干预技术研究和国际合作研究。</w:t>
      </w:r>
    </w:p>
    <w:p w14:paraId="72DD001D"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提出不少于1项烟草依赖临床分型及相应戒烟治疗方案；建立覆盖全国的烟草依赖诊治网络，形成基于医院和社区的戒烟干预模式和体系；研发不少于3项烟草依赖干预方法及基于新科技信息手段的烟草依赖特别是针对慢阻肺患者的干预技术。</w:t>
      </w:r>
    </w:p>
    <w:p w14:paraId="235A446F"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lastRenderedPageBreak/>
        <w:t>支持年限：</w:t>
      </w:r>
      <w:r w:rsidRPr="001036F4">
        <w:rPr>
          <w:rFonts w:ascii="仿宋_GB2312" w:eastAsia="仿宋_GB2312" w:hAnsi="Times New Roman" w:cs="Arial" w:hint="eastAsia"/>
          <w:color w:val="000000" w:themeColor="text1"/>
          <w:sz w:val="30"/>
          <w:szCs w:val="30"/>
        </w:rPr>
        <w:t xml:space="preserve">2017-2020年  </w:t>
      </w:r>
    </w:p>
    <w:p w14:paraId="59001F61"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74C0A9E5"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慢阻肺高危人群筛查和社区综合防控适宜技术研究及推广</w:t>
      </w:r>
    </w:p>
    <w:p w14:paraId="1E42B858"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r w:rsidRPr="001036F4">
        <w:rPr>
          <w:rFonts w:ascii="仿宋_GB2312" w:eastAsia="仿宋_GB2312" w:hAnsi="Times New Roman" w:cs="Arial" w:hint="eastAsia"/>
          <w:color w:val="000000" w:themeColor="text1"/>
          <w:sz w:val="30"/>
          <w:szCs w:val="30"/>
        </w:rPr>
        <w:t>开展慢阻肺高危人群筛查的适宜技术和</w:t>
      </w:r>
      <w:r w:rsidRPr="001036F4">
        <w:rPr>
          <w:rFonts w:ascii="仿宋_GB2312" w:eastAsia="仿宋_GB2312" w:hAnsi="Times New Roman" w:cs="Arial" w:hint="eastAsia"/>
          <w:color w:val="000000" w:themeColor="text1"/>
          <w:kern w:val="0"/>
          <w:sz w:val="30"/>
          <w:szCs w:val="30"/>
        </w:rPr>
        <w:t>慢阻肺综合防控适宜技术研究</w:t>
      </w:r>
      <w:r w:rsidRPr="001036F4">
        <w:rPr>
          <w:rFonts w:ascii="仿宋_GB2312" w:eastAsia="仿宋_GB2312" w:hAnsi="Times New Roman" w:cs="Arial" w:hint="eastAsia"/>
          <w:color w:val="000000" w:themeColor="text1"/>
          <w:sz w:val="30"/>
          <w:szCs w:val="30"/>
        </w:rPr>
        <w:t>；</w:t>
      </w:r>
      <w:r w:rsidRPr="001036F4">
        <w:rPr>
          <w:rFonts w:ascii="仿宋_GB2312" w:eastAsia="仿宋_GB2312" w:hAnsi="Times New Roman" w:cs="Arial" w:hint="eastAsia"/>
          <w:color w:val="000000" w:themeColor="text1"/>
          <w:kern w:val="0"/>
          <w:sz w:val="30"/>
          <w:szCs w:val="30"/>
        </w:rPr>
        <w:t>基于现有研究基础，</w:t>
      </w:r>
      <w:r w:rsidRPr="001036F4">
        <w:rPr>
          <w:rFonts w:ascii="仿宋_GB2312" w:eastAsia="仿宋_GB2312" w:hAnsi="Times New Roman" w:cs="Arial" w:hint="eastAsia"/>
          <w:color w:val="000000" w:themeColor="text1"/>
          <w:sz w:val="30"/>
          <w:szCs w:val="30"/>
        </w:rPr>
        <w:t>推广慢阻肺</w:t>
      </w:r>
      <w:r w:rsidRPr="001036F4">
        <w:rPr>
          <w:rFonts w:ascii="仿宋_GB2312" w:eastAsia="仿宋_GB2312" w:hAnsi="Times New Roman" w:cs="Arial" w:hint="eastAsia"/>
          <w:color w:val="000000" w:themeColor="text1"/>
          <w:kern w:val="0"/>
          <w:sz w:val="30"/>
          <w:szCs w:val="30"/>
        </w:rPr>
        <w:t>社区筛查和</w:t>
      </w:r>
      <w:r w:rsidRPr="001036F4">
        <w:rPr>
          <w:rFonts w:ascii="仿宋_GB2312" w:eastAsia="仿宋_GB2312" w:hAnsi="Times New Roman" w:cs="Arial" w:hint="eastAsia"/>
          <w:color w:val="000000" w:themeColor="text1"/>
          <w:sz w:val="30"/>
          <w:szCs w:val="30"/>
        </w:rPr>
        <w:t>综合防控适宜技术；开展和推广基于社区或医院的慢阻肺防控策略的卫生经济评价研究。</w:t>
      </w:r>
    </w:p>
    <w:p w14:paraId="00A6CF14"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建立不少于1项符合成本效益、适合国情、易推广的慢阻肺高危人群筛查适宜技术并推广；建立和推广不少于1项慢阻肺综合防控适宜技术、策略和模式，并推广应用。</w:t>
      </w:r>
    </w:p>
    <w:p w14:paraId="1A62F435"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cs="Arial" w:hint="eastAsia"/>
          <w:color w:val="000000" w:themeColor="text1"/>
          <w:sz w:val="30"/>
          <w:szCs w:val="30"/>
        </w:rPr>
        <w:t>2017-2020年</w:t>
      </w:r>
    </w:p>
    <w:p w14:paraId="613F42BC" w14:textId="77777777" w:rsidR="00C73340" w:rsidRPr="001036F4" w:rsidRDefault="00313A02">
      <w:pPr>
        <w:widowControl/>
        <w:shd w:val="clear" w:color="auto" w:fill="FFFFFF"/>
        <w:adjustRightInd w:val="0"/>
        <w:snapToGrid w:val="0"/>
        <w:spacing w:line="360" w:lineRule="auto"/>
        <w:ind w:firstLine="480"/>
        <w:jc w:val="left"/>
        <w:rPr>
          <w:rFonts w:ascii="仿宋_GB2312" w:eastAsia="仿宋_GB2312" w:hAnsi="Times New Roman" w:cs="Arial"/>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cs="Arial" w:hint="eastAsia"/>
          <w:color w:val="000000" w:themeColor="text1"/>
          <w:sz w:val="30"/>
          <w:szCs w:val="30"/>
        </w:rPr>
        <w:t>1-2项</w:t>
      </w:r>
    </w:p>
    <w:p w14:paraId="52F01574" w14:textId="77777777" w:rsidR="00C73340" w:rsidRPr="001036F4" w:rsidRDefault="00313A02">
      <w:pPr>
        <w:pStyle w:val="1"/>
        <w:adjustRightInd w:val="0"/>
        <w:snapToGrid w:val="0"/>
        <w:ind w:left="644" w:hanging="392"/>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糖尿病及代谢疾病防控技术研究</w:t>
      </w:r>
    </w:p>
    <w:p w14:paraId="5F73DB8E"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糖尿病及其并发症的诊治关键技术及长期预后研究</w:t>
      </w:r>
    </w:p>
    <w:p w14:paraId="7ABABD4F"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ab/>
        <w:t>1型糖尿病优化监测与治疗方案的研究及关键新技术推广</w:t>
      </w:r>
    </w:p>
    <w:p w14:paraId="68FD8106"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基于1型糖尿病随访队列，提出1型糖尿病不同阶段、不同严重程度的最优化监测新方案与治疗新方案，提高1型糖尿病控制率，降低1型糖尿病并发症新发病率。全面客观地证实优化监测新方案与优化治疗新方案的综合管理疗效及安全性，并在全国范围推广应用。</w:t>
      </w:r>
    </w:p>
    <w:p w14:paraId="604BB0CC"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制订1型糖尿病最优化监测方案并证实疗效；制定1型糖尿病最优化治疗方案并证实疗效；最优化监测及治疗方</w:t>
      </w:r>
      <w:r w:rsidRPr="001036F4">
        <w:rPr>
          <w:rFonts w:ascii="仿宋_GB2312" w:eastAsia="仿宋_GB2312" w:hAnsi="Times New Roman" w:hint="eastAsia"/>
          <w:color w:val="000000" w:themeColor="text1"/>
          <w:sz w:val="30"/>
          <w:szCs w:val="30"/>
        </w:rPr>
        <w:lastRenderedPageBreak/>
        <w:t>案临床实施应用后1型糖尿病控制率提高20%，1型糖尿病并发症新发病率降低10%；</w:t>
      </w:r>
      <w:r w:rsidRPr="001036F4">
        <w:rPr>
          <w:rFonts w:ascii="仿宋_GB2312" w:eastAsia="仿宋_GB2312" w:hAnsi="Times New Roman" w:cs="Arial" w:hint="eastAsia"/>
          <w:color w:val="000000" w:themeColor="text1"/>
          <w:sz w:val="30"/>
          <w:szCs w:val="30"/>
        </w:rPr>
        <w:t>制定并推广</w:t>
      </w:r>
      <w:r w:rsidRPr="001036F4">
        <w:rPr>
          <w:rFonts w:ascii="仿宋_GB2312" w:eastAsia="仿宋_GB2312" w:hAnsi="Times New Roman" w:hint="eastAsia"/>
          <w:color w:val="000000" w:themeColor="text1"/>
          <w:sz w:val="30"/>
          <w:szCs w:val="30"/>
        </w:rPr>
        <w:t>规范化诊疗指南与临床诊治路径</w:t>
      </w:r>
      <w:r w:rsidRPr="001036F4">
        <w:rPr>
          <w:rFonts w:ascii="仿宋_GB2312" w:eastAsia="仿宋_GB2312" w:hAnsi="Times New Roman" w:cs="Arial" w:hint="eastAsia"/>
          <w:color w:val="000000" w:themeColor="text1"/>
          <w:sz w:val="30"/>
          <w:szCs w:val="30"/>
        </w:rPr>
        <w:t>不少于5项；</w:t>
      </w:r>
      <w:r w:rsidRPr="001036F4">
        <w:rPr>
          <w:rFonts w:ascii="仿宋_GB2312" w:eastAsia="仿宋_GB2312" w:hAnsi="Times New Roman" w:hint="eastAsia"/>
          <w:color w:val="000000" w:themeColor="text1"/>
          <w:sz w:val="30"/>
          <w:szCs w:val="30"/>
        </w:rPr>
        <w:t>申请专利不少于3项。</w:t>
      </w:r>
    </w:p>
    <w:p w14:paraId="52CA7858" w14:textId="77777777" w:rsidR="00C73340" w:rsidRPr="001036F4" w:rsidRDefault="00313A02">
      <w:pPr>
        <w:adjustRightInd w:val="0"/>
        <w:snapToGrid w:val="0"/>
        <w:spacing w:line="360" w:lineRule="auto"/>
        <w:ind w:firstLineChars="200" w:firstLine="602"/>
        <w:rPr>
          <w:rFonts w:ascii="仿宋_GB2312" w:eastAsia="仿宋_GB2312" w:hAnsi="Times New Roman" w:cs="Arial"/>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cs="Calibri" w:hint="eastAsia"/>
          <w:color w:val="000000" w:themeColor="text1"/>
          <w:sz w:val="30"/>
          <w:szCs w:val="30"/>
        </w:rPr>
        <w:t>2017-2020年</w:t>
      </w:r>
    </w:p>
    <w:p w14:paraId="3C77B9EF" w14:textId="77777777" w:rsidR="00C73340" w:rsidRPr="001036F4" w:rsidRDefault="00313A02">
      <w:pPr>
        <w:adjustRightInd w:val="0"/>
        <w:snapToGrid w:val="0"/>
        <w:spacing w:line="360" w:lineRule="auto"/>
        <w:ind w:firstLineChars="200" w:firstLine="602"/>
        <w:rPr>
          <w:rFonts w:ascii="仿宋_GB2312" w:eastAsia="仿宋_GB2312" w:hAnsi="Times New Roman" w:cs="Calibri"/>
          <w:color w:val="000000" w:themeColor="text1"/>
          <w:kern w:val="0"/>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cs="Calibri" w:hint="eastAsia"/>
          <w:color w:val="000000" w:themeColor="text1"/>
          <w:kern w:val="0"/>
          <w:sz w:val="30"/>
          <w:szCs w:val="30"/>
        </w:rPr>
        <w:t>1-2项</w:t>
      </w:r>
    </w:p>
    <w:p w14:paraId="5824EA3A" w14:textId="77777777" w:rsidR="00C73340" w:rsidRPr="001036F4" w:rsidRDefault="00313A02">
      <w:pPr>
        <w:pStyle w:val="3"/>
        <w:numPr>
          <w:ilvl w:val="2"/>
          <w:numId w:val="3"/>
        </w:numPr>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糖尿病合并肺部感染的早期诊断与优化治疗方案研究</w:t>
      </w:r>
    </w:p>
    <w:p w14:paraId="1B3A9C33"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开展糖尿病合并肺部感染的早期诊断适宜技术研究，提高我国糖尿病合并肺部感染的早期诊断率与早期治疗率。开展糖尿病合并肺部感染的治疗处置适宜技术研究，并在基层医院进行推广应用，提高我国糖尿病合并肺部感染的控制率，降低死亡率。</w:t>
      </w:r>
    </w:p>
    <w:p w14:paraId="3286FDEF" w14:textId="77777777" w:rsidR="00C73340" w:rsidRPr="001036F4" w:rsidRDefault="00313A02">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糖尿病合并肺部感染早期诊断与治疗处置适宜技术在临床推广应用；适宜技术应用后早期诊断率、治疗率与控制率提高20%，死亡率降低20%；建立规范化诊疗指南与临床诊治路径不少于5项；申请专利不少于3项。</w:t>
      </w:r>
    </w:p>
    <w:p w14:paraId="7FC89682"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4D42ED84" w14:textId="77777777" w:rsidR="00C73340" w:rsidRPr="001036F4" w:rsidRDefault="00313A02">
      <w:pPr>
        <w:adjustRightInd w:val="0"/>
        <w:snapToGrid w:val="0"/>
        <w:spacing w:line="360" w:lineRule="auto"/>
        <w:ind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1B9EB733" w14:textId="77777777" w:rsidR="00C73340" w:rsidRPr="001036F4" w:rsidRDefault="00313A02">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糖尿病防控体系与综合管理研究</w:t>
      </w:r>
    </w:p>
    <w:p w14:paraId="32E6D5A0"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 xml:space="preserve"> 2型糖尿病多种危险因素综合管理的适宜技术建立与管理策略研究</w:t>
      </w:r>
    </w:p>
    <w:p w14:paraId="5C9E3A82"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通过2型糖尿病的血糖、血压、血脂、体重等多种危险因素综合管理的全国多中心临床研究，结合多种因素达标监测、生活方式干预与临床药物治疗，建立2型糖尿病多</w:t>
      </w:r>
      <w:r w:rsidRPr="001036F4">
        <w:rPr>
          <w:rFonts w:ascii="仿宋_GB2312" w:eastAsia="仿宋_GB2312" w:hAnsi="Times New Roman" w:hint="eastAsia"/>
          <w:color w:val="000000" w:themeColor="text1"/>
          <w:sz w:val="30"/>
          <w:szCs w:val="30"/>
        </w:rPr>
        <w:lastRenderedPageBreak/>
        <w:t>种危险因素全面管理的适宜技术与管理策略，创建覆盖全国不少于200家医院的示范区域，完善适宜技术与管理策略评价及推广应用，切实提高糖尿病控制率，延缓糖尿病血管并发症的新发病率，降低糖尿病患者心血管死亡的发生风险。</w:t>
      </w:r>
    </w:p>
    <w:p w14:paraId="3D376FD5"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建立2型糖尿病多种危险因素综合管理的适宜技术与管理策略；创建覆盖全国不少于200家医院的示范区域，多种因素综合管理适宜技术与管理策略在示范区域内推广应用；制定临床路径与指南规范5项，申请专利5项；多种因素综合管理适宜技术与管理策略实施后，糖尿病危险因素综合管理率提高30%，糖尿病血管并发症新发病率降低20%，糖尿病与糖尿病血管并发症控制率提高20%。</w:t>
      </w:r>
    </w:p>
    <w:p w14:paraId="12CA19B8"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6E496B6D"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11AB2EA9" w14:textId="77777777" w:rsidR="00C73340" w:rsidRPr="001036F4" w:rsidRDefault="00313A02">
      <w:pPr>
        <w:pStyle w:val="1"/>
        <w:adjustRightInd w:val="0"/>
        <w:snapToGrid w:val="0"/>
        <w:ind w:left="644" w:hanging="392"/>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神经精神疾病防控技术研究</w:t>
      </w:r>
    </w:p>
    <w:p w14:paraId="6F29B8D2" w14:textId="77777777" w:rsidR="00C73340" w:rsidRPr="001036F4" w:rsidRDefault="00313A02">
      <w:pPr>
        <w:pStyle w:val="2"/>
        <w:numPr>
          <w:ilvl w:val="1"/>
          <w:numId w:val="4"/>
        </w:numPr>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神经精神疾病的人群筛查、干预适宜技术研究及推广应用</w:t>
      </w:r>
    </w:p>
    <w:p w14:paraId="2EA44FAB"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神经发育障碍和精神分裂症高危人群的早期诊断及预测技术研发</w:t>
      </w:r>
    </w:p>
    <w:p w14:paraId="709124DD"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研究内容：</w:t>
      </w:r>
      <w:r w:rsidRPr="001036F4">
        <w:rPr>
          <w:rFonts w:ascii="仿宋_GB2312" w:eastAsia="仿宋_GB2312" w:hAnsi="Times New Roman" w:hint="eastAsia"/>
          <w:bCs/>
          <w:color w:val="000000" w:themeColor="text1"/>
          <w:kern w:val="44"/>
          <w:sz w:val="30"/>
          <w:szCs w:val="30"/>
        </w:rPr>
        <w:t>针对神经发育障碍和精神分裂症开发基于表型特征、遗传学、影像学、生理生化的高危人群早期诊断及预测技术，包括有预测价值的遗传标记物，血液和/或尿液标记物，功能磁共振多模态诊断体系。通过筛选和组合发现可用于早期诊断的多种生物标记物，建立神经发育障碍和精神分裂症早期诊断和预测的综合诊断指标体系。</w:t>
      </w:r>
    </w:p>
    <w:p w14:paraId="0B403903" w14:textId="29D52CC2" w:rsidR="00C73340" w:rsidRPr="001036F4" w:rsidRDefault="00313A02">
      <w:pPr>
        <w:adjustRightInd w:val="0"/>
        <w:snapToGrid w:val="0"/>
        <w:spacing w:line="360" w:lineRule="auto"/>
        <w:ind w:leftChars="172" w:left="361"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lastRenderedPageBreak/>
        <w:t>考核指标：</w:t>
      </w:r>
      <w:r w:rsidRPr="001036F4">
        <w:rPr>
          <w:rFonts w:ascii="仿宋_GB2312" w:eastAsia="仿宋_GB2312" w:hAnsi="Times New Roman" w:hint="eastAsia"/>
          <w:bCs/>
          <w:color w:val="000000" w:themeColor="text1"/>
          <w:kern w:val="44"/>
          <w:sz w:val="30"/>
          <w:szCs w:val="30"/>
        </w:rPr>
        <w:t>开发可用于神经发育障碍和精神分裂症早期诊断的遗传标记物、体液诊断标记物和功能磁共振多模态诊断指标各不少于5个。</w:t>
      </w:r>
    </w:p>
    <w:p w14:paraId="39D7CBFB" w14:textId="77777777" w:rsidR="00C73340" w:rsidRPr="001036F4" w:rsidRDefault="00313A02">
      <w:pPr>
        <w:adjustRightInd w:val="0"/>
        <w:snapToGrid w:val="0"/>
        <w:spacing w:line="360" w:lineRule="auto"/>
        <w:ind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支持年限</w:t>
      </w:r>
      <w:r w:rsidRPr="001036F4">
        <w:rPr>
          <w:rFonts w:ascii="仿宋_GB2312" w:eastAsia="仿宋_GB2312" w:hAnsi="Times New Roman" w:hint="eastAsia"/>
          <w:bCs/>
          <w:color w:val="000000" w:themeColor="text1"/>
          <w:kern w:val="44"/>
          <w:sz w:val="30"/>
          <w:szCs w:val="30"/>
        </w:rPr>
        <w:t>：2017-2020年</w:t>
      </w:r>
    </w:p>
    <w:p w14:paraId="26B93640" w14:textId="77777777" w:rsidR="00C73340" w:rsidRPr="001036F4" w:rsidRDefault="00313A02">
      <w:pPr>
        <w:adjustRightInd w:val="0"/>
        <w:snapToGrid w:val="0"/>
        <w:spacing w:line="360" w:lineRule="auto"/>
        <w:ind w:firstLineChars="200" w:firstLine="602"/>
        <w:rPr>
          <w:rFonts w:ascii="仿宋_GB2312" w:eastAsia="仿宋_GB2312" w:hAnsi="Times New Roman"/>
          <w:bCs/>
          <w:color w:val="000000" w:themeColor="text1"/>
          <w:kern w:val="44"/>
          <w:sz w:val="30"/>
          <w:szCs w:val="30"/>
        </w:rPr>
      </w:pPr>
      <w:proofErr w:type="gramStart"/>
      <w:r w:rsidRPr="001036F4">
        <w:rPr>
          <w:rFonts w:ascii="仿宋_GB2312" w:eastAsia="仿宋_GB2312" w:hAnsi="Times New Roman" w:hint="eastAsia"/>
          <w:b/>
          <w:bCs/>
          <w:color w:val="000000" w:themeColor="text1"/>
          <w:kern w:val="44"/>
          <w:sz w:val="30"/>
          <w:szCs w:val="30"/>
        </w:rPr>
        <w:t>拟支持</w:t>
      </w:r>
      <w:proofErr w:type="gramEnd"/>
      <w:r w:rsidRPr="001036F4">
        <w:rPr>
          <w:rFonts w:ascii="仿宋_GB2312" w:eastAsia="仿宋_GB2312" w:hAnsi="Times New Roman" w:hint="eastAsia"/>
          <w:b/>
          <w:bCs/>
          <w:color w:val="000000" w:themeColor="text1"/>
          <w:kern w:val="44"/>
          <w:sz w:val="30"/>
          <w:szCs w:val="30"/>
        </w:rPr>
        <w:t>项目数：</w:t>
      </w:r>
      <w:r w:rsidRPr="001036F4">
        <w:rPr>
          <w:rFonts w:ascii="仿宋_GB2312" w:eastAsia="仿宋_GB2312" w:hAnsi="Times New Roman" w:hint="eastAsia"/>
          <w:bCs/>
          <w:color w:val="000000" w:themeColor="text1"/>
          <w:kern w:val="44"/>
          <w:sz w:val="30"/>
          <w:szCs w:val="30"/>
        </w:rPr>
        <w:t>1-2项</w:t>
      </w:r>
    </w:p>
    <w:p w14:paraId="2A62F577"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抑郁障碍高危人群筛查防治适宜技术开发与应用</w:t>
      </w:r>
    </w:p>
    <w:p w14:paraId="316FA342"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研究内容：</w:t>
      </w:r>
      <w:r w:rsidRPr="001036F4">
        <w:rPr>
          <w:rFonts w:ascii="仿宋_GB2312" w:eastAsia="仿宋_GB2312" w:hAnsi="Times New Roman" w:hint="eastAsia"/>
          <w:bCs/>
          <w:color w:val="000000" w:themeColor="text1"/>
          <w:kern w:val="44"/>
          <w:sz w:val="30"/>
          <w:szCs w:val="30"/>
        </w:rPr>
        <w:t>针对不同抑郁障碍高危人群(如青春期、围绝经期女性、老年期人群)，开展纵向随访，在全国开展多中心临床研究，建立较大规模（约2000例）抑郁症及其高危人群的队列，全面评估临床表型及神经心理特征(抑郁特征、心理复原力、社会应激等)、遗传学、影像学、生理生化等指标，综合评估抑郁症疾病早期及高危人群的自然转归，开发基于上述多维度评估指标的高危人群的筛查防治技术和模型；并将较成熟的筛查防治技术和模型，在全国选取有代表性的省份和地区，开展多中心随机对照试验，验证其有效性。</w:t>
      </w:r>
    </w:p>
    <w:p w14:paraId="22D6EA54"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考核指标：</w:t>
      </w:r>
      <w:r w:rsidRPr="001036F4">
        <w:rPr>
          <w:rFonts w:ascii="仿宋_GB2312" w:eastAsia="仿宋_GB2312" w:hAnsi="Times New Roman" w:hint="eastAsia"/>
          <w:bCs/>
          <w:color w:val="000000" w:themeColor="text1"/>
          <w:kern w:val="44"/>
          <w:sz w:val="30"/>
          <w:szCs w:val="30"/>
        </w:rPr>
        <w:t>在全国开展多中心临床研究，建立较大规模（约2000例）抑郁症及其高危人群的队列；建立1套基于多维度指标体系的抑郁症早期疾病发展与转归的预测指标体系；建立不少于2项的适合中国人群的抑郁障碍高危人群筛查防治适宜技术；制定临床筛查方案/路径不少于2项。</w:t>
      </w:r>
    </w:p>
    <w:p w14:paraId="29E859B4"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支持年限：</w:t>
      </w:r>
      <w:r w:rsidRPr="001036F4">
        <w:rPr>
          <w:rFonts w:ascii="仿宋_GB2312" w:eastAsia="仿宋_GB2312" w:hAnsi="Times New Roman" w:hint="eastAsia"/>
          <w:bCs/>
          <w:color w:val="000000" w:themeColor="text1"/>
          <w:kern w:val="44"/>
          <w:sz w:val="30"/>
          <w:szCs w:val="30"/>
        </w:rPr>
        <w:t>2017-2020年</w:t>
      </w:r>
    </w:p>
    <w:p w14:paraId="51C62947"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Cs/>
          <w:color w:val="000000" w:themeColor="text1"/>
          <w:kern w:val="44"/>
          <w:sz w:val="30"/>
          <w:szCs w:val="30"/>
        </w:rPr>
      </w:pPr>
      <w:proofErr w:type="gramStart"/>
      <w:r w:rsidRPr="001036F4">
        <w:rPr>
          <w:rFonts w:ascii="仿宋_GB2312" w:eastAsia="仿宋_GB2312" w:hAnsi="Times New Roman" w:hint="eastAsia"/>
          <w:b/>
          <w:bCs/>
          <w:color w:val="000000" w:themeColor="text1"/>
          <w:kern w:val="44"/>
          <w:sz w:val="30"/>
          <w:szCs w:val="30"/>
        </w:rPr>
        <w:t>拟支持</w:t>
      </w:r>
      <w:proofErr w:type="gramEnd"/>
      <w:r w:rsidRPr="001036F4">
        <w:rPr>
          <w:rFonts w:ascii="仿宋_GB2312" w:eastAsia="仿宋_GB2312" w:hAnsi="Times New Roman" w:hint="eastAsia"/>
          <w:b/>
          <w:bCs/>
          <w:color w:val="000000" w:themeColor="text1"/>
          <w:kern w:val="44"/>
          <w:sz w:val="30"/>
          <w:szCs w:val="30"/>
        </w:rPr>
        <w:t>项目数：</w:t>
      </w:r>
      <w:r w:rsidRPr="001036F4">
        <w:rPr>
          <w:rFonts w:ascii="仿宋_GB2312" w:eastAsia="仿宋_GB2312" w:hAnsi="Times New Roman" w:hint="eastAsia"/>
          <w:bCs/>
          <w:color w:val="000000" w:themeColor="text1"/>
          <w:kern w:val="44"/>
          <w:sz w:val="30"/>
          <w:szCs w:val="30"/>
        </w:rPr>
        <w:t>1-2项</w:t>
      </w:r>
    </w:p>
    <w:p w14:paraId="3A2A6F4C" w14:textId="77777777" w:rsidR="00C73340" w:rsidRPr="001036F4" w:rsidRDefault="00313A02">
      <w:pPr>
        <w:pStyle w:val="2"/>
        <w:adjustRightInd w:val="0"/>
        <w:snapToGrid w:val="0"/>
        <w:rPr>
          <w:rFonts w:ascii="仿宋_GB2312" w:eastAsia="仿宋_GB2312" w:hAnsi="Times New Roman"/>
          <w:color w:val="000000" w:themeColor="text1"/>
          <w:kern w:val="44"/>
          <w:szCs w:val="30"/>
        </w:rPr>
      </w:pPr>
      <w:r w:rsidRPr="001036F4">
        <w:rPr>
          <w:rFonts w:ascii="仿宋_GB2312" w:eastAsia="仿宋_GB2312" w:hAnsi="Times New Roman" w:hint="eastAsia"/>
          <w:color w:val="000000" w:themeColor="text1"/>
          <w:kern w:val="44"/>
          <w:szCs w:val="30"/>
        </w:rPr>
        <w:lastRenderedPageBreak/>
        <w:t>神经精神疾病早期诊断和早期治疗技术研究</w:t>
      </w:r>
    </w:p>
    <w:p w14:paraId="08FC7CAC"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阿尔茨海默病（AD）痴呆前期治疗新方法和新技术研究</w:t>
      </w:r>
    </w:p>
    <w:p w14:paraId="29CF0663" w14:textId="77777777" w:rsidR="00925E95" w:rsidRPr="001036F4" w:rsidRDefault="00925E95" w:rsidP="00925E95">
      <w:pPr>
        <w:widowControl/>
        <w:autoSpaceDE w:val="0"/>
        <w:autoSpaceDN w:val="0"/>
        <w:adjustRightInd w:val="0"/>
        <w:snapToGrid w:val="0"/>
        <w:spacing w:line="360" w:lineRule="auto"/>
        <w:ind w:leftChars="86" w:left="181" w:firstLineChars="236" w:firstLine="711"/>
        <w:jc w:val="left"/>
        <w:rPr>
          <w:rFonts w:ascii="仿宋_GB2312" w:eastAsia="仿宋_GB2312" w:hAnsi="Times New Roman" w:cs="Times"/>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研究内容：</w:t>
      </w:r>
      <w:r w:rsidRPr="001036F4">
        <w:rPr>
          <w:rFonts w:ascii="仿宋_GB2312" w:eastAsia="仿宋_GB2312" w:hAnsi="Times New Roman" w:cs="Times" w:hint="eastAsia"/>
          <w:color w:val="000000" w:themeColor="text1"/>
          <w:kern w:val="0"/>
          <w:sz w:val="30"/>
          <w:szCs w:val="30"/>
        </w:rPr>
        <w:t>针对目前AD痴呆期治疗效果欠佳的问题，基于AD的病因学和生物标记物等研究结果，针对新发现的治疗靶点，采用新的治疗策略，将治疗关口前移，利用药物（含中成药物）、非药物（含针灸、康复等）手段，针对AD痴呆前期开展大型多中心临床试验，以发现对AD痴呆前期有治疗作用并能延缓向痴呆</w:t>
      </w:r>
      <w:proofErr w:type="gramStart"/>
      <w:r w:rsidRPr="001036F4">
        <w:rPr>
          <w:rFonts w:ascii="仿宋_GB2312" w:eastAsia="仿宋_GB2312" w:hAnsi="Times New Roman" w:cs="Times" w:hint="eastAsia"/>
          <w:color w:val="000000" w:themeColor="text1"/>
          <w:kern w:val="0"/>
          <w:sz w:val="30"/>
          <w:szCs w:val="30"/>
        </w:rPr>
        <w:t>期进展</w:t>
      </w:r>
      <w:proofErr w:type="gramEnd"/>
      <w:r w:rsidRPr="001036F4">
        <w:rPr>
          <w:rFonts w:ascii="仿宋_GB2312" w:eastAsia="仿宋_GB2312" w:hAnsi="Times New Roman" w:cs="Times" w:hint="eastAsia"/>
          <w:color w:val="000000" w:themeColor="text1"/>
          <w:kern w:val="0"/>
          <w:sz w:val="30"/>
          <w:szCs w:val="30"/>
        </w:rPr>
        <w:t>的候选药物或治疗手段。最终，</w:t>
      </w:r>
      <w:r w:rsidRPr="001036F4">
        <w:rPr>
          <w:rFonts w:ascii="仿宋_GB2312" w:eastAsia="仿宋_GB2312" w:hAnsi="Times New Roman" w:hint="eastAsia"/>
          <w:color w:val="000000" w:themeColor="text1"/>
          <w:sz w:val="30"/>
          <w:szCs w:val="30"/>
        </w:rPr>
        <w:t>制定</w:t>
      </w:r>
      <w:r w:rsidRPr="001036F4">
        <w:rPr>
          <w:rFonts w:ascii="仿宋_GB2312" w:eastAsia="仿宋_GB2312" w:hAnsi="Times New Roman" w:cs="Times" w:hint="eastAsia"/>
          <w:color w:val="000000" w:themeColor="text1"/>
          <w:kern w:val="0"/>
          <w:sz w:val="30"/>
          <w:szCs w:val="30"/>
        </w:rPr>
        <w:t>AD痴呆前期</w:t>
      </w:r>
      <w:r w:rsidRPr="001036F4">
        <w:rPr>
          <w:rFonts w:ascii="仿宋_GB2312" w:eastAsia="仿宋_GB2312" w:hAnsi="Times New Roman" w:hint="eastAsia"/>
          <w:color w:val="000000" w:themeColor="text1"/>
          <w:sz w:val="30"/>
          <w:szCs w:val="30"/>
        </w:rPr>
        <w:t>优化治疗方案并证实疗效。</w:t>
      </w:r>
    </w:p>
    <w:p w14:paraId="0634CADA" w14:textId="77777777" w:rsidR="00925E95" w:rsidRPr="001036F4" w:rsidRDefault="00925E95" w:rsidP="00925E95">
      <w:pPr>
        <w:widowControl/>
        <w:autoSpaceDE w:val="0"/>
        <w:autoSpaceDN w:val="0"/>
        <w:adjustRightInd w:val="0"/>
        <w:snapToGrid w:val="0"/>
        <w:spacing w:line="360" w:lineRule="auto"/>
        <w:ind w:leftChars="172" w:left="361" w:firstLineChars="236" w:firstLine="711"/>
        <w:jc w:val="left"/>
        <w:rPr>
          <w:rFonts w:ascii="仿宋_GB2312" w:eastAsia="仿宋_GB2312" w:hAnsi="Times New Roman" w:cs="Times"/>
          <w:b/>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考核指标：</w:t>
      </w:r>
      <w:r w:rsidRPr="001036F4">
        <w:rPr>
          <w:rFonts w:ascii="仿宋_GB2312" w:eastAsia="仿宋_GB2312" w:hAnsi="Times New Roman" w:cs="Times" w:hint="eastAsia"/>
          <w:color w:val="000000" w:themeColor="text1"/>
          <w:kern w:val="0"/>
          <w:sz w:val="30"/>
          <w:szCs w:val="30"/>
        </w:rPr>
        <w:t>筛选并初步验证针对AD痴呆前期不少于3种安全有效的新型治疗方法或手段。</w:t>
      </w:r>
      <w:r w:rsidRPr="001036F4">
        <w:rPr>
          <w:rFonts w:ascii="仿宋_GB2312" w:eastAsia="仿宋_GB2312" w:hAnsi="Times New Roman" w:hint="eastAsia"/>
          <w:color w:val="000000" w:themeColor="text1"/>
          <w:sz w:val="30"/>
          <w:szCs w:val="30"/>
        </w:rPr>
        <w:t>建立</w:t>
      </w:r>
      <w:r w:rsidRPr="001036F4">
        <w:rPr>
          <w:rFonts w:ascii="仿宋_GB2312" w:eastAsia="仿宋_GB2312" w:hAnsi="Times New Roman" w:cs="Times" w:hint="eastAsia"/>
          <w:color w:val="000000" w:themeColor="text1"/>
          <w:kern w:val="0"/>
          <w:sz w:val="30"/>
          <w:szCs w:val="30"/>
        </w:rPr>
        <w:t>AD痴呆前期</w:t>
      </w:r>
      <w:r w:rsidRPr="001036F4">
        <w:rPr>
          <w:rFonts w:ascii="仿宋_GB2312" w:eastAsia="仿宋_GB2312" w:hAnsi="Times New Roman" w:hint="eastAsia"/>
          <w:color w:val="000000" w:themeColor="text1"/>
          <w:sz w:val="30"/>
          <w:szCs w:val="30"/>
        </w:rPr>
        <w:t>规范化诊疗指南与临床诊治路径不少于2项。申请发明专利不少于3项。</w:t>
      </w:r>
    </w:p>
    <w:p w14:paraId="600C3050" w14:textId="77777777" w:rsidR="00C73340" w:rsidRPr="001036F4" w:rsidRDefault="00313A02">
      <w:pPr>
        <w:widowControl/>
        <w:autoSpaceDE w:val="0"/>
        <w:autoSpaceDN w:val="0"/>
        <w:adjustRightInd w:val="0"/>
        <w:snapToGrid w:val="0"/>
        <w:spacing w:line="360" w:lineRule="auto"/>
        <w:ind w:leftChars="172" w:left="361" w:firstLineChars="236" w:firstLine="711"/>
        <w:jc w:val="left"/>
        <w:rPr>
          <w:rFonts w:ascii="仿宋_GB2312" w:eastAsia="仿宋_GB2312" w:hAnsi="Times New Roman" w:cs="Times"/>
          <w:b/>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支持年限：</w:t>
      </w:r>
      <w:r w:rsidRPr="001036F4">
        <w:rPr>
          <w:rFonts w:ascii="仿宋_GB2312" w:eastAsia="仿宋_GB2312" w:hAnsi="Times New Roman" w:cs="Times" w:hint="eastAsia"/>
          <w:color w:val="000000" w:themeColor="text1"/>
          <w:kern w:val="0"/>
          <w:sz w:val="30"/>
          <w:szCs w:val="30"/>
        </w:rPr>
        <w:t>2017-2020年</w:t>
      </w:r>
    </w:p>
    <w:p w14:paraId="4EA6682B" w14:textId="77777777" w:rsidR="00C73340" w:rsidRPr="001036F4" w:rsidRDefault="00313A02">
      <w:pPr>
        <w:widowControl/>
        <w:autoSpaceDE w:val="0"/>
        <w:autoSpaceDN w:val="0"/>
        <w:adjustRightInd w:val="0"/>
        <w:snapToGrid w:val="0"/>
        <w:spacing w:line="360" w:lineRule="auto"/>
        <w:ind w:leftChars="172" w:left="361" w:firstLineChars="236" w:firstLine="711"/>
        <w:jc w:val="left"/>
        <w:rPr>
          <w:rFonts w:ascii="仿宋_GB2312" w:eastAsia="仿宋_GB2312" w:hAnsi="Times New Roman" w:cs="Times"/>
          <w:color w:val="000000" w:themeColor="text1"/>
          <w:kern w:val="0"/>
          <w:sz w:val="30"/>
          <w:szCs w:val="30"/>
        </w:rPr>
      </w:pPr>
      <w:proofErr w:type="gramStart"/>
      <w:r w:rsidRPr="001036F4">
        <w:rPr>
          <w:rFonts w:ascii="仿宋_GB2312" w:eastAsia="仿宋_GB2312" w:hAnsi="Times New Roman" w:cs="Times" w:hint="eastAsia"/>
          <w:b/>
          <w:color w:val="000000" w:themeColor="text1"/>
          <w:kern w:val="0"/>
          <w:sz w:val="30"/>
          <w:szCs w:val="30"/>
        </w:rPr>
        <w:t>拟支持</w:t>
      </w:r>
      <w:proofErr w:type="gramEnd"/>
      <w:r w:rsidRPr="001036F4">
        <w:rPr>
          <w:rFonts w:ascii="仿宋_GB2312" w:eastAsia="仿宋_GB2312" w:hAnsi="Times New Roman" w:cs="Times" w:hint="eastAsia"/>
          <w:b/>
          <w:color w:val="000000" w:themeColor="text1"/>
          <w:kern w:val="0"/>
          <w:sz w:val="30"/>
          <w:szCs w:val="30"/>
        </w:rPr>
        <w:t>项目数：</w:t>
      </w:r>
      <w:r w:rsidRPr="001036F4">
        <w:rPr>
          <w:rFonts w:ascii="仿宋_GB2312" w:eastAsia="仿宋_GB2312" w:hAnsi="Times New Roman" w:hint="eastAsia"/>
          <w:color w:val="000000" w:themeColor="text1"/>
          <w:sz w:val="30"/>
          <w:szCs w:val="30"/>
        </w:rPr>
        <w:t>1-2项</w:t>
      </w:r>
    </w:p>
    <w:p w14:paraId="5157ED0E" w14:textId="77777777" w:rsidR="00603B06" w:rsidRPr="001036F4" w:rsidRDefault="00603B06" w:rsidP="00603B06">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帕金森病（PD）治疗新方法和新技术研究</w:t>
      </w:r>
    </w:p>
    <w:p w14:paraId="352E0A34" w14:textId="77777777" w:rsidR="00603B06" w:rsidRPr="001036F4" w:rsidRDefault="00603B06" w:rsidP="00603B06">
      <w:pPr>
        <w:widowControl/>
        <w:autoSpaceDE w:val="0"/>
        <w:autoSpaceDN w:val="0"/>
        <w:adjustRightInd w:val="0"/>
        <w:snapToGrid w:val="0"/>
        <w:spacing w:line="360" w:lineRule="auto"/>
        <w:ind w:leftChars="172" w:left="361" w:firstLine="754"/>
        <w:jc w:val="left"/>
        <w:rPr>
          <w:rFonts w:ascii="仿宋_GB2312" w:eastAsia="仿宋_GB2312" w:hAnsi="Times New Roman" w:cs="Calibri"/>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研究内容：</w:t>
      </w:r>
      <w:r w:rsidRPr="001036F4">
        <w:rPr>
          <w:rFonts w:ascii="仿宋_GB2312" w:eastAsia="仿宋_GB2312" w:hAnsi="Times New Roman" w:cs="Times" w:hint="eastAsia"/>
          <w:color w:val="000000" w:themeColor="text1"/>
          <w:kern w:val="0"/>
          <w:sz w:val="30"/>
          <w:szCs w:val="30"/>
        </w:rPr>
        <w:t>根据遗传、环境以及生活习惯等研究结果，针对新发现的生物标记物以及脑功能环路等研究所获得的新靶点；基于PD随访队列，利用药物、非药物（含针灸、康复等）手段，开展随机、多中心临床试验，筛选出针对PD症状或疾病进程有治疗作用的、安全的新型治疗方法或手段，包括抗PD药物、中药提取物、经颅磁刺激（TMS）、针</w:t>
      </w:r>
      <w:r w:rsidRPr="001036F4">
        <w:rPr>
          <w:rFonts w:ascii="仿宋_GB2312" w:eastAsia="仿宋_GB2312" w:hAnsi="Times New Roman" w:cs="Times" w:hint="eastAsia"/>
          <w:color w:val="000000" w:themeColor="text1"/>
          <w:kern w:val="0"/>
          <w:sz w:val="30"/>
          <w:szCs w:val="30"/>
        </w:rPr>
        <w:lastRenderedPageBreak/>
        <w:t>灸、康复锻炼等。</w:t>
      </w:r>
      <w:r w:rsidRPr="001036F4">
        <w:rPr>
          <w:rFonts w:ascii="仿宋_GB2312" w:eastAsia="仿宋_GB2312" w:hAnsi="Times New Roman" w:hint="eastAsia"/>
          <w:color w:val="000000" w:themeColor="text1"/>
          <w:sz w:val="30"/>
          <w:szCs w:val="30"/>
        </w:rPr>
        <w:t>制定PD不同阶段、不同严重程度的优化治疗方案并证实疗效，提高PD的控制率，降低并发症发生率。</w:t>
      </w:r>
    </w:p>
    <w:p w14:paraId="424A37BF" w14:textId="77777777" w:rsidR="00603B06" w:rsidRPr="001036F4" w:rsidRDefault="00603B06" w:rsidP="00603B06">
      <w:pPr>
        <w:widowControl/>
        <w:autoSpaceDE w:val="0"/>
        <w:autoSpaceDN w:val="0"/>
        <w:adjustRightInd w:val="0"/>
        <w:snapToGrid w:val="0"/>
        <w:spacing w:line="360" w:lineRule="auto"/>
        <w:ind w:leftChars="172" w:left="361" w:firstLine="646"/>
        <w:jc w:val="left"/>
        <w:rPr>
          <w:rFonts w:ascii="仿宋_GB2312" w:eastAsia="仿宋_GB2312" w:hAnsi="Times New Roman" w:cs="Times"/>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考核指标：</w:t>
      </w:r>
      <w:r w:rsidRPr="001036F4">
        <w:rPr>
          <w:rFonts w:ascii="仿宋_GB2312" w:eastAsia="仿宋_GB2312" w:hAnsi="Times New Roman" w:cs="Times" w:hint="eastAsia"/>
          <w:color w:val="000000" w:themeColor="text1"/>
          <w:kern w:val="0"/>
          <w:sz w:val="30"/>
          <w:szCs w:val="30"/>
        </w:rPr>
        <w:t>筛选并验证不少于3种对PD症状或疾病进程安全有效的新型治疗方法或手段。建立适用于PD全程的规范化诊疗指南与临床诊治路径不少于2项，并在全国示范区内进行推广。申请发明专利不少于2项。</w:t>
      </w:r>
    </w:p>
    <w:p w14:paraId="34495F79" w14:textId="77777777" w:rsidR="00603B06" w:rsidRPr="001036F4" w:rsidRDefault="00603B06" w:rsidP="00603B06">
      <w:pPr>
        <w:widowControl/>
        <w:autoSpaceDE w:val="0"/>
        <w:autoSpaceDN w:val="0"/>
        <w:adjustRightInd w:val="0"/>
        <w:snapToGrid w:val="0"/>
        <w:spacing w:line="360" w:lineRule="auto"/>
        <w:ind w:leftChars="172" w:left="361" w:firstLine="640"/>
        <w:jc w:val="left"/>
        <w:rPr>
          <w:rFonts w:ascii="仿宋_GB2312" w:eastAsia="仿宋_GB2312" w:hAnsi="Times New Roman" w:cs="Calibri"/>
          <w:color w:val="000000" w:themeColor="text1"/>
          <w:kern w:val="0"/>
          <w:sz w:val="30"/>
          <w:szCs w:val="30"/>
        </w:rPr>
      </w:pPr>
      <w:r w:rsidRPr="001036F4">
        <w:rPr>
          <w:rFonts w:ascii="仿宋_GB2312" w:eastAsia="仿宋_GB2312" w:hAnsi="Times New Roman" w:cs="Times" w:hint="eastAsia"/>
          <w:b/>
          <w:color w:val="000000" w:themeColor="text1"/>
          <w:kern w:val="0"/>
          <w:sz w:val="30"/>
          <w:szCs w:val="30"/>
        </w:rPr>
        <w:t>支持年限：</w:t>
      </w:r>
      <w:r w:rsidRPr="001036F4">
        <w:rPr>
          <w:rFonts w:ascii="仿宋_GB2312" w:eastAsia="仿宋_GB2312" w:hAnsi="Times New Roman" w:cs="Times" w:hint="eastAsia"/>
          <w:color w:val="000000" w:themeColor="text1"/>
          <w:kern w:val="0"/>
          <w:sz w:val="30"/>
          <w:szCs w:val="30"/>
        </w:rPr>
        <w:t>2017-2020年</w:t>
      </w:r>
    </w:p>
    <w:p w14:paraId="7DE06A90" w14:textId="77777777" w:rsidR="00603B06" w:rsidRPr="001036F4" w:rsidRDefault="00603B06" w:rsidP="00603B06">
      <w:pPr>
        <w:widowControl/>
        <w:autoSpaceDE w:val="0"/>
        <w:autoSpaceDN w:val="0"/>
        <w:adjustRightInd w:val="0"/>
        <w:snapToGrid w:val="0"/>
        <w:spacing w:line="360" w:lineRule="auto"/>
        <w:ind w:leftChars="172" w:left="361" w:firstLine="640"/>
        <w:jc w:val="left"/>
        <w:rPr>
          <w:rFonts w:ascii="仿宋_GB2312" w:eastAsia="仿宋_GB2312" w:hAnsi="Times New Roman" w:cs="Times"/>
          <w:color w:val="000000" w:themeColor="text1"/>
          <w:kern w:val="0"/>
          <w:sz w:val="30"/>
          <w:szCs w:val="30"/>
        </w:rPr>
      </w:pPr>
      <w:proofErr w:type="gramStart"/>
      <w:r w:rsidRPr="001036F4">
        <w:rPr>
          <w:rFonts w:ascii="仿宋_GB2312" w:eastAsia="仿宋_GB2312" w:hAnsi="Times New Roman" w:cs="Times" w:hint="eastAsia"/>
          <w:b/>
          <w:color w:val="000000" w:themeColor="text1"/>
          <w:kern w:val="0"/>
          <w:sz w:val="30"/>
          <w:szCs w:val="30"/>
        </w:rPr>
        <w:t>拟支持</w:t>
      </w:r>
      <w:proofErr w:type="gramEnd"/>
      <w:r w:rsidRPr="001036F4">
        <w:rPr>
          <w:rFonts w:ascii="仿宋_GB2312" w:eastAsia="仿宋_GB2312" w:hAnsi="Times New Roman" w:cs="Times" w:hint="eastAsia"/>
          <w:b/>
          <w:color w:val="000000" w:themeColor="text1"/>
          <w:kern w:val="0"/>
          <w:sz w:val="30"/>
          <w:szCs w:val="30"/>
        </w:rPr>
        <w:t>项目数：</w:t>
      </w:r>
      <w:r w:rsidRPr="001036F4">
        <w:rPr>
          <w:rFonts w:ascii="仿宋_GB2312" w:eastAsia="仿宋_GB2312" w:hAnsi="Times New Roman" w:cs="Times" w:hint="eastAsia"/>
          <w:color w:val="000000" w:themeColor="text1"/>
          <w:kern w:val="0"/>
          <w:sz w:val="30"/>
          <w:szCs w:val="30"/>
        </w:rPr>
        <w:t>1-2项</w:t>
      </w:r>
    </w:p>
    <w:p w14:paraId="55ABE962"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物质依赖早期诊断分子靶标和新技术开发</w:t>
      </w:r>
    </w:p>
    <w:p w14:paraId="0063A7B3" w14:textId="6F26D898" w:rsidR="00603B06" w:rsidRPr="001036F4" w:rsidRDefault="00313A02">
      <w:pPr>
        <w:adjustRightInd w:val="0"/>
        <w:snapToGrid w:val="0"/>
        <w:spacing w:line="360" w:lineRule="auto"/>
        <w:ind w:leftChars="86" w:left="181" w:firstLineChars="200" w:firstLine="602"/>
        <w:rPr>
          <w:rFonts w:ascii="仿宋_GB2312" w:eastAsia="仿宋_GB2312" w:hAnsi="Times New Roman"/>
          <w:b/>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研究内容：</w:t>
      </w:r>
      <w:r w:rsidRPr="001036F4">
        <w:rPr>
          <w:rFonts w:ascii="仿宋_GB2312" w:eastAsia="仿宋_GB2312" w:hAnsi="Times New Roman" w:hint="eastAsia"/>
          <w:bCs/>
          <w:color w:val="000000" w:themeColor="text1"/>
          <w:kern w:val="44"/>
          <w:sz w:val="30"/>
          <w:szCs w:val="30"/>
        </w:rPr>
        <w:t>在已有的临床资料库、生物样本库基础上，进一步在全国开展多中心临床研究，并运用动物研究和人体研究相结合的策略，研究和开发物质依赖早期诊断的分子靶标和复发早期预测新指标，包括有预警价值的遗传标记物、体液标记物、功能磁共振多模态体系。通过筛选和组合发现可用于早期诊断和复发早期预测的多种生物标记物，建立物质依赖早期诊断和复发早期预警的综合指标体系。</w:t>
      </w:r>
    </w:p>
    <w:p w14:paraId="10DDD1F1" w14:textId="514585A8" w:rsidR="00C73340" w:rsidRPr="001036F4" w:rsidRDefault="00603B06">
      <w:pPr>
        <w:adjustRightInd w:val="0"/>
        <w:snapToGrid w:val="0"/>
        <w:spacing w:line="360" w:lineRule="auto"/>
        <w:ind w:leftChars="86" w:left="181"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考核指标：</w:t>
      </w:r>
      <w:r w:rsidRPr="001036F4">
        <w:rPr>
          <w:rFonts w:ascii="仿宋_GB2312" w:eastAsia="仿宋_GB2312" w:hAnsi="Times New Roman" w:hint="eastAsia"/>
          <w:bCs/>
          <w:color w:val="000000" w:themeColor="text1"/>
          <w:kern w:val="44"/>
          <w:sz w:val="30"/>
          <w:szCs w:val="30"/>
        </w:rPr>
        <w:t>建立标准规范的较大规模（约1500例）的物质依赖及其高危人群的队列。开发可用于物质依赖早期诊断和复发早期预警的遗传标记物、体液诊断标记物、功能磁共振多模态指标各不少于5项。</w:t>
      </w:r>
    </w:p>
    <w:p w14:paraId="28CBBE8E" w14:textId="77777777" w:rsidR="00C73340" w:rsidRPr="001036F4" w:rsidRDefault="00313A02">
      <w:pPr>
        <w:adjustRightInd w:val="0"/>
        <w:snapToGrid w:val="0"/>
        <w:spacing w:line="360" w:lineRule="auto"/>
        <w:ind w:firstLineChars="200" w:firstLine="602"/>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t>支持年限：</w:t>
      </w:r>
      <w:r w:rsidRPr="001036F4">
        <w:rPr>
          <w:rFonts w:ascii="仿宋_GB2312" w:eastAsia="仿宋_GB2312" w:hAnsi="Times New Roman" w:hint="eastAsia"/>
          <w:bCs/>
          <w:color w:val="000000" w:themeColor="text1"/>
          <w:kern w:val="44"/>
          <w:sz w:val="30"/>
          <w:szCs w:val="30"/>
        </w:rPr>
        <w:t>2017-2020年</w:t>
      </w:r>
    </w:p>
    <w:p w14:paraId="2B5A0350" w14:textId="77777777" w:rsidR="00C73340" w:rsidRPr="001036F4" w:rsidRDefault="00313A02">
      <w:pPr>
        <w:adjustRightInd w:val="0"/>
        <w:snapToGrid w:val="0"/>
        <w:spacing w:line="360" w:lineRule="auto"/>
        <w:ind w:firstLineChars="200" w:firstLine="602"/>
        <w:rPr>
          <w:rFonts w:ascii="仿宋_GB2312" w:eastAsia="仿宋_GB2312" w:hAnsi="Times New Roman"/>
          <w:bCs/>
          <w:color w:val="000000" w:themeColor="text1"/>
          <w:kern w:val="44"/>
          <w:sz w:val="30"/>
          <w:szCs w:val="30"/>
        </w:rPr>
      </w:pPr>
      <w:proofErr w:type="gramStart"/>
      <w:r w:rsidRPr="001036F4">
        <w:rPr>
          <w:rFonts w:ascii="仿宋_GB2312" w:eastAsia="仿宋_GB2312" w:hAnsi="Times New Roman" w:hint="eastAsia"/>
          <w:b/>
          <w:bCs/>
          <w:color w:val="000000" w:themeColor="text1"/>
          <w:kern w:val="44"/>
          <w:sz w:val="30"/>
          <w:szCs w:val="30"/>
        </w:rPr>
        <w:t>拟支持</w:t>
      </w:r>
      <w:proofErr w:type="gramEnd"/>
      <w:r w:rsidRPr="001036F4">
        <w:rPr>
          <w:rFonts w:ascii="仿宋_GB2312" w:eastAsia="仿宋_GB2312" w:hAnsi="Times New Roman" w:hint="eastAsia"/>
          <w:b/>
          <w:bCs/>
          <w:color w:val="000000" w:themeColor="text1"/>
          <w:kern w:val="44"/>
          <w:sz w:val="30"/>
          <w:szCs w:val="30"/>
        </w:rPr>
        <w:t>项目数：</w:t>
      </w:r>
      <w:r w:rsidRPr="001036F4">
        <w:rPr>
          <w:rFonts w:ascii="仿宋_GB2312" w:eastAsia="仿宋_GB2312" w:hAnsi="Times New Roman" w:hint="eastAsia"/>
          <w:bCs/>
          <w:color w:val="000000" w:themeColor="text1"/>
          <w:kern w:val="44"/>
          <w:sz w:val="30"/>
          <w:szCs w:val="30"/>
        </w:rPr>
        <w:t xml:space="preserve"> 1-2项</w:t>
      </w:r>
    </w:p>
    <w:p w14:paraId="373DD09B" w14:textId="77777777" w:rsidR="00C73340" w:rsidRPr="001036F4" w:rsidRDefault="00313A02">
      <w:pPr>
        <w:pStyle w:val="2"/>
        <w:adjustRightInd w:val="0"/>
        <w:snapToGrid w:val="0"/>
        <w:rPr>
          <w:rFonts w:ascii="仿宋_GB2312" w:eastAsia="仿宋_GB2312" w:hAnsi="Times New Roman"/>
          <w:color w:val="000000" w:themeColor="text1"/>
          <w:kern w:val="44"/>
          <w:szCs w:val="30"/>
        </w:rPr>
      </w:pPr>
      <w:r w:rsidRPr="001036F4">
        <w:rPr>
          <w:rFonts w:ascii="仿宋_GB2312" w:eastAsia="仿宋_GB2312" w:hAnsi="Times New Roman" w:hint="eastAsia"/>
          <w:color w:val="000000" w:themeColor="text1"/>
          <w:kern w:val="44"/>
          <w:szCs w:val="30"/>
        </w:rPr>
        <w:lastRenderedPageBreak/>
        <w:t>神经精神疾病康复技术和长期疾病管理研究</w:t>
      </w:r>
    </w:p>
    <w:p w14:paraId="59789B28"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基于家庭和社区的认知障碍疾病综合康复与长期管理技术研究</w:t>
      </w:r>
    </w:p>
    <w:p w14:paraId="02E52700"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本研究应当结合现代信息技术，</w:t>
      </w:r>
      <w:r w:rsidRPr="001036F4">
        <w:rPr>
          <w:rFonts w:ascii="仿宋_GB2312" w:eastAsia="仿宋_GB2312" w:hAnsi="Times New Roman" w:cs="Arial" w:hint="eastAsia"/>
          <w:color w:val="000000" w:themeColor="text1"/>
          <w:sz w:val="30"/>
          <w:szCs w:val="30"/>
        </w:rPr>
        <w:t>依托互联网技术，</w:t>
      </w:r>
      <w:r w:rsidRPr="001036F4">
        <w:rPr>
          <w:rFonts w:ascii="仿宋_GB2312" w:eastAsia="仿宋_GB2312" w:hAnsi="Times New Roman" w:hint="eastAsia"/>
          <w:color w:val="000000" w:themeColor="text1"/>
          <w:sz w:val="30"/>
          <w:szCs w:val="30"/>
        </w:rPr>
        <w:t>开展基于社区和家庭的认知障碍综合康复和干预策略的研究；建立基于社区的大型认知障碍研究队列，构建包括药物（含中医药）、康复和辅具等手段在内的综合干预模式，验证能够</w:t>
      </w:r>
      <w:proofErr w:type="gramStart"/>
      <w:r w:rsidRPr="001036F4">
        <w:rPr>
          <w:rFonts w:ascii="仿宋_GB2312" w:eastAsia="仿宋_GB2312" w:hAnsi="Times New Roman" w:hint="eastAsia"/>
          <w:color w:val="000000" w:themeColor="text1"/>
          <w:sz w:val="30"/>
          <w:szCs w:val="30"/>
        </w:rPr>
        <w:t>确切改善</w:t>
      </w:r>
      <w:proofErr w:type="gramEnd"/>
      <w:r w:rsidRPr="001036F4">
        <w:rPr>
          <w:rFonts w:ascii="仿宋_GB2312" w:eastAsia="仿宋_GB2312" w:hAnsi="Times New Roman" w:hint="eastAsia"/>
          <w:color w:val="000000" w:themeColor="text1"/>
          <w:sz w:val="30"/>
          <w:szCs w:val="30"/>
        </w:rPr>
        <w:t>患者认知障碍、提升日常生活质量的有效方案；形成可在社区中应用的适宜技术和规范：包括早期高危人群的预防、患者的全程治疗和康复训练等内容，形成疾病综合管理立体模式。</w:t>
      </w:r>
    </w:p>
    <w:p w14:paraId="2C15D9D5"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Pr="001036F4">
        <w:rPr>
          <w:rFonts w:ascii="仿宋_GB2312" w:eastAsia="仿宋_GB2312" w:hAnsi="Times New Roman" w:hint="eastAsia"/>
          <w:color w:val="000000" w:themeColor="text1"/>
          <w:sz w:val="30"/>
          <w:szCs w:val="30"/>
        </w:rPr>
        <w:t>完善1套基于社区的认知障碍患者在线训练和认知康复系统；完成1项认知障碍患者社区综合干预和管理技术规范；建立成体系的认知障碍疾病社区管理系统；综合管理不少于3个10万人口以上的示范社区，使示范社区的认知障碍规范化干预率提升20%以上。</w:t>
      </w:r>
    </w:p>
    <w:p w14:paraId="5D528803"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b/>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4238BE72" w14:textId="7777777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1-2项</w:t>
      </w:r>
    </w:p>
    <w:p w14:paraId="15EEEFB6" w14:textId="04D8A12B" w:rsidR="00C73340" w:rsidRPr="000836D2" w:rsidRDefault="00313A02">
      <w:pPr>
        <w:pStyle w:val="1"/>
        <w:numPr>
          <w:ilvl w:val="0"/>
          <w:numId w:val="4"/>
        </w:numPr>
        <w:adjustRightInd w:val="0"/>
        <w:snapToGrid w:val="0"/>
        <w:rPr>
          <w:rFonts w:ascii="仿宋_GB2312" w:eastAsia="仿宋_GB2312" w:hAnsi="Times New Roman"/>
          <w:color w:val="000000" w:themeColor="text1"/>
          <w:sz w:val="30"/>
          <w:szCs w:val="30"/>
        </w:rPr>
      </w:pPr>
      <w:r w:rsidRPr="000836D2">
        <w:rPr>
          <w:rFonts w:ascii="仿宋_GB2312" w:eastAsia="仿宋_GB2312" w:hAnsi="Times New Roman" w:hint="eastAsia"/>
          <w:color w:val="000000" w:themeColor="text1"/>
          <w:sz w:val="30"/>
          <w:szCs w:val="30"/>
        </w:rPr>
        <w:t>国际合作研究</w:t>
      </w:r>
    </w:p>
    <w:p w14:paraId="42D76DF7" w14:textId="77777777" w:rsidR="0056121D" w:rsidRPr="001036F4" w:rsidRDefault="0056121D" w:rsidP="0056121D">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慢阻肺国际合作研究</w:t>
      </w:r>
    </w:p>
    <w:p w14:paraId="5DA27106" w14:textId="77777777" w:rsidR="0056121D" w:rsidRPr="001036F4" w:rsidRDefault="0056121D" w:rsidP="0056121D">
      <w:pPr>
        <w:pStyle w:val="3"/>
        <w:adjustRightInd w:val="0"/>
        <w:snapToGrid w:val="0"/>
        <w:rPr>
          <w:rFonts w:ascii="仿宋_GB2312" w:eastAsia="仿宋_GB2312" w:hAnsi="Times New Roman"/>
          <w:b w:val="0"/>
          <w:bCs w:val="0"/>
          <w:color w:val="000000" w:themeColor="text1"/>
          <w:kern w:val="44"/>
          <w:sz w:val="30"/>
          <w:szCs w:val="30"/>
        </w:rPr>
      </w:pPr>
      <w:r w:rsidRPr="001036F4">
        <w:rPr>
          <w:rFonts w:ascii="仿宋_GB2312" w:eastAsia="仿宋_GB2312" w:hAnsi="Times New Roman" w:hint="eastAsia"/>
          <w:color w:val="000000" w:themeColor="text1"/>
          <w:kern w:val="44"/>
          <w:sz w:val="30"/>
          <w:szCs w:val="30"/>
        </w:rPr>
        <w:t>慢阻肺急性加重预警与预防策略的国际合作研究</w:t>
      </w:r>
    </w:p>
    <w:p w14:paraId="3BD6DA48" w14:textId="751D36F9" w:rsidR="0056121D" w:rsidRPr="001036F4" w:rsidRDefault="0056121D" w:rsidP="0056121D">
      <w:pPr>
        <w:adjustRightInd w:val="0"/>
        <w:snapToGrid w:val="0"/>
        <w:spacing w:line="360" w:lineRule="auto"/>
        <w:ind w:firstLineChars="202" w:firstLine="608"/>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研究内容</w:t>
      </w:r>
      <w:bookmarkStart w:id="0" w:name="_GoBack"/>
      <w:bookmarkEnd w:id="0"/>
      <w:r w:rsidRPr="001036F4">
        <w:rPr>
          <w:rFonts w:ascii="仿宋_GB2312" w:eastAsia="仿宋_GB2312" w:hAnsi="Times New Roman" w:cs="Arial" w:hint="eastAsia"/>
          <w:b/>
          <w:color w:val="000000" w:themeColor="text1"/>
          <w:sz w:val="30"/>
          <w:szCs w:val="30"/>
        </w:rPr>
        <w:t>：</w:t>
      </w:r>
      <w:r w:rsidRPr="001036F4">
        <w:rPr>
          <w:rFonts w:ascii="仿宋_GB2312" w:eastAsia="仿宋_GB2312" w:hAnsi="Times New Roman" w:cs="Arial" w:hint="eastAsia"/>
          <w:color w:val="000000" w:themeColor="text1"/>
          <w:sz w:val="30"/>
          <w:szCs w:val="30"/>
        </w:rPr>
        <w:t>基于现有的慢阻肺队列和与</w:t>
      </w:r>
      <w:r w:rsidR="00883D94">
        <w:rPr>
          <w:rFonts w:ascii="仿宋_GB2312" w:eastAsia="仿宋_GB2312" w:hAnsi="Times New Roman" w:cs="Arial" w:hint="eastAsia"/>
          <w:color w:val="000000" w:themeColor="text1"/>
          <w:sz w:val="30"/>
          <w:szCs w:val="30"/>
        </w:rPr>
        <w:t>国际</w:t>
      </w:r>
      <w:r w:rsidRPr="001036F4">
        <w:rPr>
          <w:rFonts w:ascii="仿宋_GB2312" w:eastAsia="仿宋_GB2312" w:hAnsi="Times New Roman" w:cs="Arial" w:hint="eastAsia"/>
          <w:color w:val="000000" w:themeColor="text1"/>
          <w:sz w:val="30"/>
          <w:szCs w:val="30"/>
        </w:rPr>
        <w:t>合作基础，开展</w:t>
      </w:r>
      <w:bookmarkStart w:id="1" w:name="OLE_LINK12"/>
      <w:r w:rsidRPr="001036F4">
        <w:rPr>
          <w:rFonts w:ascii="仿宋_GB2312" w:eastAsia="仿宋_GB2312" w:hAnsi="Times New Roman" w:cs="Arial" w:hint="eastAsia"/>
          <w:color w:val="000000" w:themeColor="text1"/>
          <w:sz w:val="30"/>
          <w:szCs w:val="30"/>
        </w:rPr>
        <w:t>慢阻肺急性加重的危险因素和分子标志物研究；</w:t>
      </w:r>
      <w:bookmarkStart w:id="2" w:name="OLE_LINK13"/>
      <w:bookmarkEnd w:id="1"/>
      <w:r w:rsidRPr="001036F4">
        <w:rPr>
          <w:rFonts w:ascii="仿宋_GB2312" w:eastAsia="仿宋_GB2312" w:hAnsi="Times New Roman" w:cs="Arial" w:hint="eastAsia"/>
          <w:color w:val="000000" w:themeColor="text1"/>
          <w:sz w:val="30"/>
          <w:szCs w:val="30"/>
        </w:rPr>
        <w:t>开展慢阻肺急性加重病原微生物与耐药监</w:t>
      </w:r>
      <w:bookmarkStart w:id="3" w:name="OLE_LINK14"/>
      <w:r w:rsidRPr="001036F4">
        <w:rPr>
          <w:rFonts w:ascii="仿宋_GB2312" w:eastAsia="仿宋_GB2312" w:hAnsi="Times New Roman" w:cs="Arial" w:hint="eastAsia"/>
          <w:color w:val="000000" w:themeColor="text1"/>
          <w:sz w:val="30"/>
          <w:szCs w:val="30"/>
        </w:rPr>
        <w:t>测；开展慢阻肺急性加重的</w:t>
      </w:r>
      <w:bookmarkEnd w:id="2"/>
      <w:r w:rsidRPr="001036F4">
        <w:rPr>
          <w:rFonts w:ascii="仿宋_GB2312" w:eastAsia="仿宋_GB2312" w:hAnsi="Times New Roman" w:cs="Arial" w:hint="eastAsia"/>
          <w:color w:val="000000" w:themeColor="text1"/>
          <w:sz w:val="30"/>
          <w:szCs w:val="30"/>
        </w:rPr>
        <w:t>免疫组学研</w:t>
      </w:r>
      <w:r w:rsidRPr="001036F4">
        <w:rPr>
          <w:rFonts w:ascii="仿宋_GB2312" w:eastAsia="仿宋_GB2312" w:hAnsi="Times New Roman" w:cs="Arial" w:hint="eastAsia"/>
          <w:color w:val="000000" w:themeColor="text1"/>
          <w:sz w:val="30"/>
          <w:szCs w:val="30"/>
        </w:rPr>
        <w:lastRenderedPageBreak/>
        <w:t>究；</w:t>
      </w:r>
      <w:bookmarkStart w:id="4" w:name="OLE_LINK15"/>
      <w:r w:rsidRPr="001036F4">
        <w:rPr>
          <w:rFonts w:ascii="仿宋_GB2312" w:eastAsia="仿宋_GB2312" w:hAnsi="Times New Roman" w:cs="Arial" w:hint="eastAsia"/>
          <w:color w:val="000000" w:themeColor="text1"/>
          <w:sz w:val="30"/>
          <w:szCs w:val="30"/>
        </w:rPr>
        <w:t>开展慢阻肺急性加重的数据库和预警平台的建设</w:t>
      </w:r>
      <w:bookmarkEnd w:id="4"/>
      <w:r w:rsidRPr="001036F4">
        <w:rPr>
          <w:rFonts w:ascii="仿宋_GB2312" w:eastAsia="仿宋_GB2312" w:hAnsi="Times New Roman" w:cs="Arial" w:hint="eastAsia"/>
          <w:color w:val="000000" w:themeColor="text1"/>
          <w:sz w:val="30"/>
          <w:szCs w:val="30"/>
        </w:rPr>
        <w:t>，构建慢阻肺急性加重的国际合作的技术平台。</w:t>
      </w:r>
    </w:p>
    <w:bookmarkEnd w:id="3"/>
    <w:p w14:paraId="3C80D399" w14:textId="77777777" w:rsidR="0056121D" w:rsidRPr="001036F4" w:rsidRDefault="0056121D" w:rsidP="0056121D">
      <w:pPr>
        <w:adjustRightInd w:val="0"/>
        <w:snapToGrid w:val="0"/>
        <w:spacing w:line="360" w:lineRule="auto"/>
        <w:ind w:firstLineChars="202" w:firstLine="608"/>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考核指标：</w:t>
      </w:r>
      <w:r w:rsidRPr="001036F4">
        <w:rPr>
          <w:rFonts w:ascii="仿宋_GB2312" w:eastAsia="仿宋_GB2312" w:hAnsi="Times New Roman" w:cs="Arial" w:hint="eastAsia"/>
          <w:color w:val="000000" w:themeColor="text1"/>
          <w:sz w:val="30"/>
          <w:szCs w:val="30"/>
        </w:rPr>
        <w:t>验证1-2种慢阻肺急性加重的分子标志物；揭示研究期间慢阻肺急性加重微生物与耐药状况；揭示机体免疫状态在慢阻肺急性加重的作用；建立1个慢阻肺急性加重的数据库和数字化的预警平台，促进国际合作，形成慢阻肺急性加重的防治指南。</w:t>
      </w:r>
    </w:p>
    <w:p w14:paraId="35426D73" w14:textId="77777777" w:rsidR="0056121D" w:rsidRPr="001036F4" w:rsidRDefault="0056121D" w:rsidP="0056121D">
      <w:pPr>
        <w:adjustRightInd w:val="0"/>
        <w:snapToGrid w:val="0"/>
        <w:spacing w:line="360" w:lineRule="auto"/>
        <w:ind w:firstLineChars="202" w:firstLine="608"/>
        <w:rPr>
          <w:rFonts w:ascii="仿宋_GB2312" w:eastAsia="仿宋_GB2312" w:hAnsi="Times New Roman" w:cs="Arial"/>
          <w:color w:val="000000" w:themeColor="text1"/>
          <w:sz w:val="30"/>
          <w:szCs w:val="30"/>
        </w:rPr>
      </w:pPr>
      <w:r w:rsidRPr="001036F4">
        <w:rPr>
          <w:rFonts w:ascii="仿宋_GB2312" w:eastAsia="仿宋_GB2312" w:hAnsi="Times New Roman" w:cs="Arial"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w:t>
      </w:r>
      <w:r w:rsidRPr="001036F4">
        <w:rPr>
          <w:rFonts w:ascii="仿宋_GB2312" w:eastAsia="仿宋_GB2312" w:hAnsi="Times New Roman" w:cs="Arial" w:hint="eastAsia"/>
          <w:color w:val="000000" w:themeColor="text1"/>
          <w:sz w:val="30"/>
          <w:szCs w:val="30"/>
        </w:rPr>
        <w:t xml:space="preserve">年  </w:t>
      </w:r>
    </w:p>
    <w:p w14:paraId="506D9896" w14:textId="77777777" w:rsidR="0056121D" w:rsidRPr="001036F4" w:rsidRDefault="0056121D" w:rsidP="0056121D">
      <w:pPr>
        <w:adjustRightInd w:val="0"/>
        <w:snapToGrid w:val="0"/>
        <w:spacing w:line="360" w:lineRule="auto"/>
        <w:ind w:firstLineChars="200" w:firstLine="602"/>
        <w:rPr>
          <w:rFonts w:ascii="仿宋_GB2312" w:eastAsia="仿宋_GB2312" w:hAnsi="Times New Roman"/>
          <w:bCs/>
          <w:color w:val="000000" w:themeColor="text1"/>
          <w:sz w:val="30"/>
          <w:szCs w:val="30"/>
        </w:rPr>
      </w:pPr>
      <w:proofErr w:type="gramStart"/>
      <w:r w:rsidRPr="001036F4">
        <w:rPr>
          <w:rFonts w:ascii="仿宋_GB2312" w:eastAsia="仿宋_GB2312" w:hAnsi="Times New Roman" w:cs="Arial" w:hint="eastAsia"/>
          <w:b/>
          <w:color w:val="000000" w:themeColor="text1"/>
          <w:sz w:val="30"/>
          <w:szCs w:val="30"/>
        </w:rPr>
        <w:t>拟支持</w:t>
      </w:r>
      <w:proofErr w:type="gramEnd"/>
      <w:r w:rsidRPr="001036F4">
        <w:rPr>
          <w:rFonts w:ascii="仿宋_GB2312" w:eastAsia="仿宋_GB2312" w:hAnsi="Times New Roman" w:cs="Arial" w:hint="eastAsia"/>
          <w:b/>
          <w:color w:val="000000" w:themeColor="text1"/>
          <w:sz w:val="30"/>
          <w:szCs w:val="30"/>
        </w:rPr>
        <w:t>项目数：</w:t>
      </w:r>
      <w:r w:rsidRPr="001036F4">
        <w:rPr>
          <w:rFonts w:ascii="仿宋_GB2312" w:eastAsia="仿宋_GB2312" w:hAnsi="Times New Roman" w:hint="eastAsia"/>
          <w:bCs/>
          <w:color w:val="000000" w:themeColor="text1"/>
          <w:sz w:val="30"/>
          <w:szCs w:val="30"/>
        </w:rPr>
        <w:t>1项</w:t>
      </w:r>
    </w:p>
    <w:p w14:paraId="0A6ED9DC" w14:textId="77777777" w:rsidR="00C73340" w:rsidRPr="001036F4" w:rsidRDefault="00313A02" w:rsidP="00893CB3">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t>糖尿病国际合作研究</w:t>
      </w:r>
    </w:p>
    <w:p w14:paraId="59A87E00" w14:textId="77777777" w:rsidR="00C73340" w:rsidRPr="001036F4" w:rsidRDefault="00313A02">
      <w:pPr>
        <w:pStyle w:val="3"/>
        <w:adjustRightInd w:val="0"/>
        <w:snapToGrid w:val="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 xml:space="preserve"> 2型糖尿病优化降压治疗目标的国际合作研究</w:t>
      </w:r>
    </w:p>
    <w:p w14:paraId="2FF69EDE" w14:textId="2A6CCD67" w:rsidR="00C73340" w:rsidRPr="001036F4" w:rsidRDefault="00313A02">
      <w:pPr>
        <w:adjustRightInd w:val="0"/>
        <w:snapToGrid w:val="0"/>
        <w:spacing w:line="360" w:lineRule="auto"/>
        <w:ind w:leftChars="86" w:left="18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研究内容：</w:t>
      </w:r>
      <w:r w:rsidRPr="001036F4">
        <w:rPr>
          <w:rFonts w:ascii="仿宋_GB2312" w:eastAsia="仿宋_GB2312" w:hAnsi="Times New Roman" w:hint="eastAsia"/>
          <w:color w:val="000000" w:themeColor="text1"/>
          <w:sz w:val="30"/>
          <w:szCs w:val="30"/>
        </w:rPr>
        <w:t>依托前期开展的糖尿病领域国际合作基础与最新临床研究实践经验，针对全球临床实践共同面对的2型糖尿病降压目标的难点问题，开展中国2型糖尿病优化降压治疗目标的研究，建立2型糖尿病血压控制的最佳分层目标，用以指导临床2型糖尿病的血压管理，以切实有效地降低糖尿病患者心血管并发症的发生风险。</w:t>
      </w:r>
    </w:p>
    <w:p w14:paraId="23396E76" w14:textId="522D9A3A" w:rsidR="00C73340" w:rsidRPr="001036F4" w:rsidRDefault="00313A02">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考核指标：</w:t>
      </w:r>
      <w:r w:rsidR="00A31FD7">
        <w:rPr>
          <w:rFonts w:ascii="仿宋_GB2312" w:eastAsia="仿宋_GB2312" w:hAnsi="Times New Roman" w:hint="eastAsia"/>
          <w:color w:val="000000" w:themeColor="text1"/>
          <w:sz w:val="30"/>
          <w:szCs w:val="30"/>
        </w:rPr>
        <w:t>建立</w:t>
      </w:r>
      <w:r w:rsidRPr="001036F4">
        <w:rPr>
          <w:rFonts w:ascii="仿宋_GB2312" w:eastAsia="仿宋_GB2312" w:hAnsi="Times New Roman" w:hint="eastAsia"/>
          <w:color w:val="000000" w:themeColor="text1"/>
          <w:sz w:val="30"/>
          <w:szCs w:val="30"/>
        </w:rPr>
        <w:t>2型糖尿病降压治疗的国际临床研究协同合作平台；建立2型糖尿病血压控制的适宜分层目标管理方案；发布并推广适宜临床应用的2型糖尿病降压目标管理路径与指南规范</w:t>
      </w:r>
      <w:r w:rsidRPr="001036F4">
        <w:rPr>
          <w:rFonts w:ascii="仿宋_GB2312" w:eastAsia="仿宋_GB2312" w:hAnsi="Times New Roman" w:cs="Arial" w:hint="eastAsia"/>
          <w:color w:val="000000" w:themeColor="text1"/>
          <w:sz w:val="30"/>
          <w:szCs w:val="30"/>
        </w:rPr>
        <w:t>不少于5项</w:t>
      </w:r>
      <w:r w:rsidRPr="001036F4">
        <w:rPr>
          <w:rFonts w:ascii="仿宋_GB2312" w:eastAsia="仿宋_GB2312" w:hAnsi="Times New Roman" w:hint="eastAsia"/>
          <w:color w:val="000000" w:themeColor="text1"/>
          <w:sz w:val="30"/>
          <w:szCs w:val="30"/>
        </w:rPr>
        <w:t>。</w:t>
      </w:r>
    </w:p>
    <w:p w14:paraId="6D4F671A" w14:textId="77777777" w:rsidR="00C73340" w:rsidRPr="001036F4" w:rsidRDefault="00313A02">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1A33402B" w14:textId="5C9C135C" w:rsidR="00C73340" w:rsidRDefault="00313A02">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1项</w:t>
      </w:r>
    </w:p>
    <w:p w14:paraId="07F980FD" w14:textId="08D64360" w:rsidR="00ED24F8" w:rsidRPr="001036F4" w:rsidRDefault="00ED24F8" w:rsidP="00893CB3">
      <w:pPr>
        <w:pStyle w:val="2"/>
        <w:adjustRightInd w:val="0"/>
        <w:snapToGrid w:val="0"/>
        <w:rPr>
          <w:rFonts w:ascii="仿宋_GB2312" w:eastAsia="仿宋_GB2312" w:hAnsi="Times New Roman"/>
          <w:color w:val="000000" w:themeColor="text1"/>
          <w:szCs w:val="30"/>
        </w:rPr>
      </w:pPr>
      <w:r w:rsidRPr="001036F4">
        <w:rPr>
          <w:rFonts w:ascii="仿宋_GB2312" w:eastAsia="仿宋_GB2312" w:hAnsi="Times New Roman" w:hint="eastAsia"/>
          <w:color w:val="000000" w:themeColor="text1"/>
          <w:szCs w:val="30"/>
        </w:rPr>
        <w:lastRenderedPageBreak/>
        <w:t>神经精神疾病的国际合作研究</w:t>
      </w:r>
    </w:p>
    <w:p w14:paraId="09D6154C" w14:textId="557D686B" w:rsidR="00ED24F8" w:rsidRPr="001036F4" w:rsidRDefault="00ED24F8" w:rsidP="00893CB3">
      <w:pPr>
        <w:pStyle w:val="3"/>
        <w:adjustRightInd w:val="0"/>
        <w:snapToGrid w:val="0"/>
        <w:rPr>
          <w:rFonts w:ascii="仿宋_GB2312" w:eastAsia="仿宋_GB2312" w:hAnsi="Times New Roman"/>
          <w:b w:val="0"/>
          <w:bCs w:val="0"/>
          <w:color w:val="000000" w:themeColor="text1"/>
          <w:sz w:val="30"/>
          <w:szCs w:val="30"/>
        </w:rPr>
      </w:pPr>
      <w:r w:rsidRPr="001036F4">
        <w:rPr>
          <w:rFonts w:ascii="仿宋_GB2312" w:eastAsia="仿宋_GB2312" w:hAnsi="Times New Roman" w:hint="eastAsia"/>
          <w:color w:val="000000" w:themeColor="text1"/>
          <w:sz w:val="30"/>
          <w:szCs w:val="30"/>
        </w:rPr>
        <w:t>阿尔茨海默病（AD）早期针对病因治疗和预防的国际合作研究</w:t>
      </w:r>
    </w:p>
    <w:p w14:paraId="74FBBE9A" w14:textId="77777777" w:rsidR="00ED24F8" w:rsidRPr="001036F4" w:rsidRDefault="00ED24F8" w:rsidP="00ED24F8">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 xml:space="preserve"> 研究内容：</w:t>
      </w:r>
      <w:r w:rsidRPr="001036F4">
        <w:rPr>
          <w:rFonts w:ascii="仿宋_GB2312" w:eastAsia="仿宋_GB2312" w:hAnsi="Times New Roman" w:hint="eastAsia"/>
          <w:color w:val="000000" w:themeColor="text1"/>
          <w:sz w:val="30"/>
          <w:szCs w:val="30"/>
        </w:rPr>
        <w:t>依托前期开展的AD领域国际合作研究基础，参照国际AD最新临床研究实践，针对全球共同面对的AD预防和针对病因治疗这一难点问题，充分利用中国丰富的病例病源和近年来所取得的AD诊治技术进步，选择合适研究人群，开展AD早期预防和针对病因治疗的国际合作研究，进行国际多中心临床试验，以发现对AD具有一定预防作用的方法或针对病因治疗药物。</w:t>
      </w:r>
    </w:p>
    <w:p w14:paraId="78CC0A69" w14:textId="77777777" w:rsidR="00ED24F8" w:rsidRPr="001036F4" w:rsidRDefault="00ED24F8" w:rsidP="00ED24F8">
      <w:pPr>
        <w:adjustRightInd w:val="0"/>
        <w:snapToGrid w:val="0"/>
        <w:spacing w:line="360" w:lineRule="auto"/>
        <w:ind w:leftChars="172" w:left="361" w:firstLineChars="200" w:firstLine="600"/>
        <w:rPr>
          <w:rFonts w:ascii="仿宋_GB2312" w:eastAsia="仿宋_GB2312" w:hAnsi="Times New Roman"/>
          <w:color w:val="000000" w:themeColor="text1"/>
          <w:sz w:val="30"/>
          <w:szCs w:val="30"/>
        </w:rPr>
      </w:pPr>
      <w:r w:rsidRPr="001036F4">
        <w:rPr>
          <w:rFonts w:ascii="仿宋_GB2312" w:eastAsia="仿宋_GB2312" w:hAnsi="Times New Roman" w:hint="eastAsia"/>
          <w:color w:val="000000" w:themeColor="text1"/>
          <w:sz w:val="30"/>
          <w:szCs w:val="30"/>
        </w:rPr>
        <w:t>考核指标：建立国际AD临床研究协同合作平台；发现并验证1-2种对AD具有预防作用的方法或针对病因治疗药物。</w:t>
      </w:r>
    </w:p>
    <w:p w14:paraId="42ABA58A" w14:textId="77777777" w:rsidR="00ED24F8" w:rsidRPr="001036F4" w:rsidRDefault="00ED24F8" w:rsidP="00ED24F8">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r w:rsidRPr="001036F4">
        <w:rPr>
          <w:rFonts w:ascii="仿宋_GB2312" w:eastAsia="仿宋_GB2312" w:hAnsi="Times New Roman" w:hint="eastAsia"/>
          <w:b/>
          <w:color w:val="000000" w:themeColor="text1"/>
          <w:sz w:val="30"/>
          <w:szCs w:val="30"/>
        </w:rPr>
        <w:t>支持年限：</w:t>
      </w:r>
      <w:r w:rsidRPr="001036F4">
        <w:rPr>
          <w:rFonts w:ascii="仿宋_GB2312" w:eastAsia="仿宋_GB2312" w:hAnsi="Times New Roman" w:hint="eastAsia"/>
          <w:color w:val="000000" w:themeColor="text1"/>
          <w:sz w:val="30"/>
          <w:szCs w:val="30"/>
        </w:rPr>
        <w:t>2017-2020年</w:t>
      </w:r>
    </w:p>
    <w:p w14:paraId="27FD259E" w14:textId="11F6C336" w:rsidR="00ED24F8" w:rsidRPr="001036F4" w:rsidRDefault="00ED24F8" w:rsidP="00ED24F8">
      <w:pPr>
        <w:adjustRightInd w:val="0"/>
        <w:snapToGrid w:val="0"/>
        <w:spacing w:line="360" w:lineRule="auto"/>
        <w:ind w:leftChars="172" w:left="361" w:firstLineChars="200" w:firstLine="602"/>
        <w:rPr>
          <w:rFonts w:ascii="仿宋_GB2312" w:eastAsia="仿宋_GB2312" w:hAnsi="Times New Roman"/>
          <w:color w:val="000000" w:themeColor="text1"/>
          <w:sz w:val="30"/>
          <w:szCs w:val="30"/>
        </w:rPr>
      </w:pPr>
      <w:proofErr w:type="gramStart"/>
      <w:r w:rsidRPr="001036F4">
        <w:rPr>
          <w:rFonts w:ascii="仿宋_GB2312" w:eastAsia="仿宋_GB2312" w:hAnsi="Times New Roman" w:hint="eastAsia"/>
          <w:b/>
          <w:color w:val="000000" w:themeColor="text1"/>
          <w:sz w:val="30"/>
          <w:szCs w:val="30"/>
        </w:rPr>
        <w:t>拟支持</w:t>
      </w:r>
      <w:proofErr w:type="gramEnd"/>
      <w:r w:rsidRPr="001036F4">
        <w:rPr>
          <w:rFonts w:ascii="仿宋_GB2312" w:eastAsia="仿宋_GB2312" w:hAnsi="Times New Roman" w:hint="eastAsia"/>
          <w:b/>
          <w:color w:val="000000" w:themeColor="text1"/>
          <w:sz w:val="30"/>
          <w:szCs w:val="30"/>
        </w:rPr>
        <w:t>项目数：</w:t>
      </w:r>
      <w:r w:rsidRPr="001036F4">
        <w:rPr>
          <w:rFonts w:ascii="仿宋_GB2312" w:eastAsia="仿宋_GB2312" w:hAnsi="Times New Roman" w:hint="eastAsia"/>
          <w:color w:val="000000" w:themeColor="text1"/>
          <w:sz w:val="30"/>
          <w:szCs w:val="30"/>
        </w:rPr>
        <w:t>1项。</w:t>
      </w:r>
    </w:p>
    <w:p w14:paraId="3499F479" w14:textId="77777777" w:rsidR="004C069E" w:rsidRDefault="004C069E">
      <w:pPr>
        <w:widowControl/>
        <w:jc w:val="left"/>
        <w:rPr>
          <w:rFonts w:ascii="仿宋_GB2312" w:eastAsia="仿宋_GB2312" w:hAnsi="Times New Roman"/>
          <w:bCs/>
          <w:color w:val="000000" w:themeColor="text1"/>
          <w:kern w:val="44"/>
          <w:sz w:val="30"/>
          <w:szCs w:val="30"/>
        </w:rPr>
      </w:pPr>
      <w:r>
        <w:rPr>
          <w:rFonts w:ascii="仿宋_GB2312" w:eastAsia="仿宋_GB2312" w:hAnsi="Times New Roman"/>
          <w:bCs/>
          <w:color w:val="000000" w:themeColor="text1"/>
          <w:kern w:val="44"/>
          <w:sz w:val="30"/>
          <w:szCs w:val="30"/>
        </w:rPr>
        <w:br w:type="page"/>
      </w:r>
    </w:p>
    <w:p w14:paraId="70034D22" w14:textId="3126B27B" w:rsidR="00C73340" w:rsidRPr="001036F4" w:rsidRDefault="00313A02" w:rsidP="004C069E">
      <w:pPr>
        <w:widowControl/>
        <w:jc w:val="center"/>
        <w:rPr>
          <w:rFonts w:ascii="仿宋_GB2312" w:eastAsia="仿宋_GB2312" w:hAnsi="Times New Roman"/>
          <w:b/>
          <w:bCs/>
          <w:color w:val="000000" w:themeColor="text1"/>
          <w:kern w:val="44"/>
          <w:sz w:val="30"/>
          <w:szCs w:val="30"/>
        </w:rPr>
      </w:pPr>
      <w:r w:rsidRPr="001036F4">
        <w:rPr>
          <w:rFonts w:ascii="仿宋_GB2312" w:eastAsia="仿宋_GB2312" w:hAnsi="Times New Roman" w:hint="eastAsia"/>
          <w:b/>
          <w:bCs/>
          <w:color w:val="000000" w:themeColor="text1"/>
          <w:kern w:val="44"/>
          <w:sz w:val="30"/>
          <w:szCs w:val="30"/>
        </w:rPr>
        <w:lastRenderedPageBreak/>
        <w:t>有关说明</w:t>
      </w:r>
    </w:p>
    <w:p w14:paraId="49B2FC20" w14:textId="77777777" w:rsidR="00C73340" w:rsidRPr="001036F4" w:rsidRDefault="00313A02">
      <w:pPr>
        <w:adjustRightInd w:val="0"/>
        <w:snapToGrid w:val="0"/>
        <w:spacing w:line="360" w:lineRule="auto"/>
        <w:ind w:firstLineChars="200" w:firstLine="600"/>
        <w:rPr>
          <w:rFonts w:ascii="仿宋_GB2312" w:eastAsia="仿宋_GB2312" w:hAnsi="Times New Roman"/>
          <w:bCs/>
          <w:color w:val="000000" w:themeColor="text1"/>
          <w:kern w:val="44"/>
          <w:sz w:val="30"/>
          <w:szCs w:val="30"/>
        </w:rPr>
      </w:pPr>
      <w:r w:rsidRPr="001036F4">
        <w:rPr>
          <w:rFonts w:ascii="仿宋_GB2312" w:eastAsia="仿宋_GB2312" w:hAnsi="Times New Roman" w:hint="eastAsia"/>
          <w:bCs/>
          <w:color w:val="000000" w:themeColor="text1"/>
          <w:kern w:val="44"/>
          <w:sz w:val="30"/>
          <w:szCs w:val="30"/>
        </w:rPr>
        <w:t>1.本专项除有特殊要求外，所有项目均应整体申报，须覆盖全部考核指标。每个项目下设课题不超过5个，每个项目所含单位数不超过10家（包括项目申报单位）。</w:t>
      </w:r>
    </w:p>
    <w:p w14:paraId="727F2B51" w14:textId="666C65FA" w:rsidR="00C73340" w:rsidRPr="001036F4" w:rsidRDefault="00313A02">
      <w:pPr>
        <w:adjustRightInd w:val="0"/>
        <w:snapToGrid w:val="0"/>
        <w:spacing w:line="360" w:lineRule="auto"/>
        <w:ind w:firstLineChars="200" w:firstLine="600"/>
        <w:rPr>
          <w:rFonts w:ascii="仿宋_GB2312" w:eastAsia="仿宋_GB2312" w:hAnsi="Times New Roman"/>
          <w:color w:val="000000" w:themeColor="text1"/>
          <w:sz w:val="30"/>
          <w:szCs w:val="30"/>
        </w:rPr>
      </w:pPr>
      <w:r w:rsidRPr="001036F4">
        <w:rPr>
          <w:rFonts w:ascii="仿宋_GB2312" w:eastAsia="仿宋_GB2312" w:hAnsi="Times New Roman" w:hint="eastAsia"/>
          <w:bCs/>
          <w:color w:val="000000" w:themeColor="text1"/>
          <w:kern w:val="44"/>
          <w:sz w:val="30"/>
          <w:szCs w:val="30"/>
        </w:rPr>
        <w:t>2.本</w:t>
      </w:r>
      <w:proofErr w:type="gramStart"/>
      <w:r w:rsidRPr="001036F4">
        <w:rPr>
          <w:rFonts w:ascii="仿宋_GB2312" w:eastAsia="仿宋_GB2312" w:hAnsi="Times New Roman" w:hint="eastAsia"/>
          <w:bCs/>
          <w:color w:val="000000" w:themeColor="text1"/>
          <w:kern w:val="44"/>
          <w:sz w:val="30"/>
          <w:szCs w:val="30"/>
        </w:rPr>
        <w:t>专项要求</w:t>
      </w:r>
      <w:proofErr w:type="gramEnd"/>
      <w:r w:rsidRPr="001036F4">
        <w:rPr>
          <w:rFonts w:ascii="仿宋_GB2312" w:eastAsia="仿宋_GB2312" w:hAnsi="Times New Roman" w:hint="eastAsia"/>
          <w:bCs/>
          <w:color w:val="000000" w:themeColor="text1"/>
          <w:kern w:val="44"/>
          <w:sz w:val="30"/>
          <w:szCs w:val="30"/>
        </w:rPr>
        <w:t>申报单位和个人必须签署具有法律约束力的协议，承诺各领域项目产生的所有科学数据无条件、按期递交到科技部指定的平台，在重大慢病专项约定的条件下对重大慢病专项各个承担单位，乃至今后面向所有的科技工作者和公众开放共享。申报</w:t>
      </w:r>
      <w:r w:rsidR="0078324B" w:rsidRPr="001036F4">
        <w:rPr>
          <w:rFonts w:ascii="仿宋_GB2312" w:eastAsia="仿宋_GB2312" w:hAnsi="Times New Roman" w:hint="eastAsia"/>
          <w:bCs/>
          <w:color w:val="000000" w:themeColor="text1"/>
          <w:kern w:val="44"/>
          <w:sz w:val="30"/>
          <w:szCs w:val="30"/>
        </w:rPr>
        <w:t>本</w:t>
      </w:r>
      <w:r w:rsidRPr="001036F4">
        <w:rPr>
          <w:rFonts w:ascii="仿宋_GB2312" w:eastAsia="仿宋_GB2312" w:hAnsi="Times New Roman" w:hint="eastAsia"/>
          <w:bCs/>
          <w:color w:val="000000" w:themeColor="text1"/>
          <w:kern w:val="44"/>
          <w:sz w:val="30"/>
          <w:szCs w:val="30"/>
        </w:rPr>
        <w:t>专项则视为同意本条款。如不在商定的期限内履行数据递交，则由专项责令整改，拒绝整改者，则由专项追回项目资金，并予以通报。</w:t>
      </w:r>
    </w:p>
    <w:p w14:paraId="13ADBE83" w14:textId="77777777" w:rsidR="00C73340" w:rsidRPr="001036F4" w:rsidRDefault="00313A02">
      <w:pPr>
        <w:adjustRightInd w:val="0"/>
        <w:snapToGrid w:val="0"/>
        <w:spacing w:line="360" w:lineRule="auto"/>
        <w:ind w:firstLineChars="200" w:firstLine="600"/>
        <w:rPr>
          <w:rFonts w:ascii="仿宋_GB2312" w:eastAsia="仿宋_GB2312" w:hAnsi="Times New Roman"/>
          <w:color w:val="000000" w:themeColor="text1"/>
          <w:sz w:val="30"/>
          <w:szCs w:val="30"/>
        </w:rPr>
      </w:pPr>
      <w:r w:rsidRPr="001036F4">
        <w:rPr>
          <w:rFonts w:ascii="仿宋_GB2312" w:eastAsia="仿宋_GB2312" w:hAnsi="Times New Roman" w:hint="eastAsia"/>
          <w:bCs/>
          <w:color w:val="000000" w:themeColor="text1"/>
          <w:kern w:val="44"/>
          <w:sz w:val="30"/>
          <w:szCs w:val="30"/>
        </w:rPr>
        <w:t>3.</w:t>
      </w:r>
      <w:r w:rsidRPr="001036F4">
        <w:rPr>
          <w:rFonts w:ascii="仿宋_GB2312" w:eastAsia="仿宋_GB2312" w:hAnsi="Times New Roman" w:cs="仿宋" w:hint="eastAsia"/>
          <w:color w:val="000000" w:themeColor="text1"/>
          <w:sz w:val="30"/>
          <w:szCs w:val="30"/>
        </w:rPr>
        <w:t>本专项研究涉及人类遗传资源采集、收集、买卖、出口、出境等须遵照《人类遗传资源管理暂行办法》相关规定执行。</w:t>
      </w:r>
      <w:r w:rsidRPr="001036F4">
        <w:rPr>
          <w:rFonts w:ascii="仿宋_GB2312" w:eastAsia="仿宋_GB2312" w:hAnsi="Times New Roman" w:hint="eastAsia"/>
          <w:color w:val="000000" w:themeColor="text1"/>
          <w:sz w:val="30"/>
          <w:szCs w:val="30"/>
        </w:rPr>
        <w:t>涉及实验动物和动物实验，</w:t>
      </w:r>
      <w:r w:rsidRPr="001036F4">
        <w:rPr>
          <w:rFonts w:ascii="仿宋_GB2312" w:eastAsia="仿宋_GB2312" w:hAnsi="Times New Roman" w:cs="仿宋" w:hint="eastAsia"/>
          <w:color w:val="000000" w:themeColor="text1"/>
          <w:sz w:val="30"/>
          <w:szCs w:val="30"/>
        </w:rPr>
        <w:t>要遵守国家实验动物管理的法律、法规、技术标准及有关规定，使用合格实验动物，在合格设施内进行动物实验，保证实验过程合法，实验结果真实、有效，并通过实验动物福利和伦理审查。</w:t>
      </w:r>
      <w:r w:rsidRPr="001036F4">
        <w:rPr>
          <w:rFonts w:ascii="仿宋_GB2312" w:eastAsia="仿宋_GB2312" w:hAnsi="Times New Roman" w:hint="eastAsia"/>
          <w:color w:val="000000" w:themeColor="text1"/>
          <w:sz w:val="30"/>
          <w:szCs w:val="30"/>
        </w:rPr>
        <w:t>申报本专项则视为同意本条款。</w:t>
      </w:r>
    </w:p>
    <w:p w14:paraId="0B725347" w14:textId="794338F2" w:rsidR="00C73340" w:rsidRPr="004960BC" w:rsidRDefault="00A55A05" w:rsidP="00A55A05">
      <w:pPr>
        <w:adjustRightInd w:val="0"/>
        <w:snapToGrid w:val="0"/>
        <w:spacing w:line="360" w:lineRule="auto"/>
        <w:ind w:firstLineChars="200" w:firstLine="600"/>
        <w:rPr>
          <w:rFonts w:ascii="仿宋_GB2312" w:eastAsia="仿宋_GB2312" w:hAnsi="Times New Roman"/>
          <w:color w:val="000000" w:themeColor="text1"/>
          <w:sz w:val="30"/>
          <w:szCs w:val="30"/>
        </w:rPr>
      </w:pPr>
      <w:r w:rsidRPr="004960BC">
        <w:rPr>
          <w:rFonts w:ascii="仿宋_GB2312" w:eastAsia="仿宋_GB2312" w:hAnsi="Times New Roman" w:hint="eastAsia"/>
          <w:color w:val="000000" w:themeColor="text1"/>
          <w:sz w:val="30"/>
          <w:szCs w:val="30"/>
        </w:rPr>
        <w:t>4.</w:t>
      </w:r>
      <w:r w:rsidR="00641806" w:rsidRPr="004960BC">
        <w:rPr>
          <w:rFonts w:ascii="仿宋_GB2312" w:eastAsia="仿宋_GB2312" w:hAnsi="Times New Roman" w:hint="eastAsia"/>
          <w:color w:val="000000" w:themeColor="text1"/>
          <w:sz w:val="30"/>
          <w:szCs w:val="30"/>
        </w:rPr>
        <w:t>对于</w:t>
      </w:r>
      <w:proofErr w:type="gramStart"/>
      <w:r w:rsidR="00641806" w:rsidRPr="004960BC">
        <w:rPr>
          <w:rFonts w:ascii="仿宋_GB2312" w:eastAsia="仿宋_GB2312" w:hAnsi="Times New Roman" w:hint="eastAsia"/>
          <w:color w:val="000000" w:themeColor="text1"/>
          <w:sz w:val="30"/>
          <w:szCs w:val="30"/>
        </w:rPr>
        <w:t>拟支持</w:t>
      </w:r>
      <w:proofErr w:type="gramEnd"/>
      <w:r w:rsidR="00641806" w:rsidRPr="004960BC">
        <w:rPr>
          <w:rFonts w:ascii="仿宋_GB2312" w:eastAsia="仿宋_GB2312" w:hAnsi="Times New Roman" w:hint="eastAsia"/>
          <w:color w:val="000000" w:themeColor="text1"/>
          <w:sz w:val="30"/>
          <w:szCs w:val="30"/>
        </w:rPr>
        <w:t>项目数为1-2项的指南方向，原则上该方向只立1项。</w:t>
      </w:r>
      <w:r w:rsidR="00407084" w:rsidRPr="004960BC">
        <w:rPr>
          <w:rFonts w:ascii="仿宋_GB2312" w:eastAsia="仿宋_GB2312" w:hAnsi="Times New Roman" w:hint="eastAsia"/>
          <w:color w:val="000000" w:themeColor="text1"/>
          <w:sz w:val="30"/>
          <w:szCs w:val="30"/>
        </w:rPr>
        <w:t>在同一研究方向下，当申报项目评审结果相近、技术路线明显不同的情况下，可同时支持2个项目。</w:t>
      </w:r>
      <w:r w:rsidR="00641806" w:rsidRPr="004960BC">
        <w:rPr>
          <w:rFonts w:ascii="仿宋_GB2312" w:eastAsia="仿宋_GB2312" w:hAnsi="Times New Roman" w:hint="eastAsia"/>
          <w:color w:val="000000" w:themeColor="text1"/>
          <w:sz w:val="30"/>
          <w:szCs w:val="30"/>
        </w:rPr>
        <w:t>将建立动态调整机制，根据中期评估结果，择优选择其中1个项目继续支持。</w:t>
      </w:r>
    </w:p>
    <w:sectPr w:rsidR="00C73340" w:rsidRPr="004960B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61F30" w14:textId="77777777" w:rsidR="00B40D5E" w:rsidRDefault="00B40D5E">
      <w:r>
        <w:separator/>
      </w:r>
    </w:p>
  </w:endnote>
  <w:endnote w:type="continuationSeparator" w:id="0">
    <w:p w14:paraId="1A5BD2A7" w14:textId="77777777" w:rsidR="00B40D5E" w:rsidRDefault="00B4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4451741"/>
      <w:docPartObj>
        <w:docPartGallery w:val="Page Numbers (Bottom of Page)"/>
        <w:docPartUnique/>
      </w:docPartObj>
    </w:sdtPr>
    <w:sdtEndPr>
      <w:rPr>
        <w:sz w:val="24"/>
        <w:szCs w:val="24"/>
      </w:rPr>
    </w:sdtEndPr>
    <w:sdtContent>
      <w:p w14:paraId="135831D5" w14:textId="528F7F4E" w:rsidR="004C069E" w:rsidRPr="004C069E" w:rsidRDefault="004C069E">
        <w:pPr>
          <w:pStyle w:val="a9"/>
          <w:jc w:val="center"/>
          <w:rPr>
            <w:sz w:val="24"/>
            <w:szCs w:val="24"/>
          </w:rPr>
        </w:pPr>
        <w:r w:rsidRPr="004C069E">
          <w:rPr>
            <w:sz w:val="24"/>
            <w:szCs w:val="24"/>
          </w:rPr>
          <w:fldChar w:fldCharType="begin"/>
        </w:r>
        <w:r w:rsidRPr="004C069E">
          <w:rPr>
            <w:sz w:val="24"/>
            <w:szCs w:val="24"/>
          </w:rPr>
          <w:instrText>PAGE   \* MERGEFORMAT</w:instrText>
        </w:r>
        <w:r w:rsidRPr="004C069E">
          <w:rPr>
            <w:sz w:val="24"/>
            <w:szCs w:val="24"/>
          </w:rPr>
          <w:fldChar w:fldCharType="separate"/>
        </w:r>
        <w:r w:rsidR="000836D2" w:rsidRPr="000836D2">
          <w:rPr>
            <w:noProof/>
            <w:sz w:val="24"/>
            <w:szCs w:val="24"/>
            <w:lang w:val="zh-CN"/>
          </w:rPr>
          <w:t>26</w:t>
        </w:r>
        <w:r w:rsidRPr="004C069E">
          <w:rPr>
            <w:sz w:val="24"/>
            <w:szCs w:val="24"/>
          </w:rPr>
          <w:fldChar w:fldCharType="end"/>
        </w:r>
      </w:p>
    </w:sdtContent>
  </w:sdt>
  <w:p w14:paraId="7D061464" w14:textId="77777777" w:rsidR="00C73340" w:rsidRDefault="00C733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BB137" w14:textId="77777777" w:rsidR="00B40D5E" w:rsidRDefault="00B40D5E">
      <w:r>
        <w:separator/>
      </w:r>
    </w:p>
  </w:footnote>
  <w:footnote w:type="continuationSeparator" w:id="0">
    <w:p w14:paraId="31F21F75" w14:textId="77777777" w:rsidR="00B40D5E" w:rsidRDefault="00B40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lvl w:ilvl="0">
      <w:start w:val="1"/>
      <w:numFmt w:val="decimal"/>
      <w:pStyle w:val="1"/>
      <w:lvlText w:val="%1"/>
      <w:lvlJc w:val="left"/>
      <w:pPr>
        <w:ind w:left="425" w:hanging="425"/>
      </w:pPr>
      <w:rPr>
        <w:rFonts w:ascii="Times New Roman" w:eastAsia="黑体" w:hAnsi="Times New Roman" w:hint="default"/>
        <w:b/>
        <w:i w:val="0"/>
        <w:sz w:val="32"/>
      </w:rPr>
    </w:lvl>
    <w:lvl w:ilvl="1">
      <w:start w:val="1"/>
      <w:numFmt w:val="decimal"/>
      <w:pStyle w:val="2"/>
      <w:lvlText w:val="%1.%2"/>
      <w:lvlJc w:val="left"/>
      <w:pPr>
        <w:ind w:left="992" w:hanging="567"/>
      </w:pPr>
      <w:rPr>
        <w:rFonts w:ascii="Times New Roman" w:eastAsia="黑体" w:hAnsi="Times New Roman" w:hint="default"/>
        <w:b/>
        <w:i w:val="0"/>
        <w:sz w:val="30"/>
      </w:rPr>
    </w:lvl>
    <w:lvl w:ilvl="2">
      <w:start w:val="1"/>
      <w:numFmt w:val="decimal"/>
      <w:pStyle w:val="3"/>
      <w:lvlText w:val="%1.%2.%3"/>
      <w:lvlJc w:val="left"/>
      <w:pPr>
        <w:ind w:left="1418" w:hanging="567"/>
      </w:pPr>
      <w:rPr>
        <w:rFonts w:ascii="Times New Roman" w:eastAsia="黑体" w:hAnsi="Times New Roman" w:hint="default"/>
        <w:b/>
        <w:i w:val="0"/>
        <w:sz w:val="28"/>
      </w:rPr>
    </w:lvl>
    <w:lvl w:ilvl="3" w:tentative="1">
      <w:start w:val="1"/>
      <w:numFmt w:val="decimal"/>
      <w:lvlText w:val="%1.%2.%3.%4"/>
      <w:lvlJc w:val="left"/>
      <w:pPr>
        <w:ind w:left="1984" w:hanging="708"/>
      </w:pPr>
      <w:rPr>
        <w:rFonts w:hint="eastAsia"/>
      </w:rPr>
    </w:lvl>
    <w:lvl w:ilvl="4" w:tentative="1">
      <w:start w:val="1"/>
      <w:numFmt w:val="decimal"/>
      <w:lvlText w:val="%1.%2.%3.%4.%5"/>
      <w:lvlJc w:val="left"/>
      <w:pPr>
        <w:ind w:left="2551" w:hanging="850"/>
      </w:pPr>
      <w:rPr>
        <w:rFonts w:hint="eastAsia"/>
      </w:rPr>
    </w:lvl>
    <w:lvl w:ilvl="5" w:tentative="1">
      <w:start w:val="1"/>
      <w:numFmt w:val="decimal"/>
      <w:lvlText w:val="%1.%2.%3.%4.%5.%6"/>
      <w:lvlJc w:val="left"/>
      <w:pPr>
        <w:ind w:left="3260" w:hanging="1134"/>
      </w:pPr>
      <w:rPr>
        <w:rFonts w:hint="eastAsia"/>
      </w:rPr>
    </w:lvl>
    <w:lvl w:ilvl="6" w:tentative="1">
      <w:start w:val="1"/>
      <w:numFmt w:val="decimal"/>
      <w:lvlText w:val="%1.%2.%3.%4.%5.%6.%7"/>
      <w:lvlJc w:val="left"/>
      <w:pPr>
        <w:ind w:left="3827" w:hanging="1276"/>
      </w:pPr>
      <w:rPr>
        <w:rFonts w:hint="eastAsia"/>
      </w:rPr>
    </w:lvl>
    <w:lvl w:ilvl="7" w:tentative="1">
      <w:start w:val="1"/>
      <w:numFmt w:val="decimal"/>
      <w:lvlText w:val="%1.%2.%3.%4.%5.%6.%7.%8"/>
      <w:lvlJc w:val="left"/>
      <w:pPr>
        <w:ind w:left="4394" w:hanging="1418"/>
      </w:pPr>
      <w:rPr>
        <w:rFonts w:hint="eastAsia"/>
      </w:rPr>
    </w:lvl>
    <w:lvl w:ilvl="8" w:tentative="1">
      <w:start w:val="1"/>
      <w:numFmt w:val="decimal"/>
      <w:lvlText w:val="%1.%2.%3.%4.%5.%6.%7.%8.%9"/>
      <w:lvlJc w:val="left"/>
      <w:pPr>
        <w:ind w:left="5102" w:hanging="1700"/>
      </w:pPr>
      <w:rPr>
        <w:rFonts w:hint="eastAsia"/>
      </w:rPr>
    </w:lvl>
  </w:abstractNum>
  <w:abstractNum w:abstractNumId="1" w15:restartNumberingAfterBreak="0">
    <w:nsid w:val="7F0256BD"/>
    <w:multiLevelType w:val="multilevel"/>
    <w:tmpl w:val="7F0256BD"/>
    <w:lvl w:ilvl="0">
      <w:start w:val="1"/>
      <w:numFmt w:val="decimal"/>
      <w:lvlText w:val="%1."/>
      <w:lvlJc w:val="left"/>
      <w:pPr>
        <w:ind w:left="780" w:hanging="36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num w:numId="1">
    <w:abstractNumId w:val="0"/>
  </w:num>
  <w:num w:numId="2">
    <w:abstractNumId w:val="1"/>
  </w:num>
  <w:num w:numId="3">
    <w:abstractNumId w:val="0"/>
    <w:lvlOverride w:ilvl="2">
      <w:startOverride w:val="1"/>
    </w:lvlOverride>
  </w:num>
  <w:num w:numId="4">
    <w:abstractNumId w:val="0"/>
    <w:lvlOverride w:ilvl="1">
      <w:startOverride w:val="1"/>
    </w:lvlOverride>
  </w:num>
  <w:num w:numId="5">
    <w:abstractNumId w:val="0"/>
    <w:lvlOverride w:ilvl="1">
      <w:startOverride w:val="1"/>
    </w:lvlOverride>
  </w:num>
  <w:num w:numId="6">
    <w:abstractNumId w:val="0"/>
  </w:num>
  <w:num w:numId="7">
    <w:abstractNumId w:val="0"/>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625"/>
    <w:rsid w:val="00002DD3"/>
    <w:rsid w:val="00020F58"/>
    <w:rsid w:val="00041580"/>
    <w:rsid w:val="00051E09"/>
    <w:rsid w:val="0005526A"/>
    <w:rsid w:val="000615AE"/>
    <w:rsid w:val="00064E78"/>
    <w:rsid w:val="00077D79"/>
    <w:rsid w:val="000836D2"/>
    <w:rsid w:val="00087BCF"/>
    <w:rsid w:val="00092792"/>
    <w:rsid w:val="000929F1"/>
    <w:rsid w:val="00097BDF"/>
    <w:rsid w:val="000A0F8D"/>
    <w:rsid w:val="000A3CE8"/>
    <w:rsid w:val="000A7B53"/>
    <w:rsid w:val="000B49A8"/>
    <w:rsid w:val="000C10BB"/>
    <w:rsid w:val="000C5C9D"/>
    <w:rsid w:val="000C665B"/>
    <w:rsid w:val="000D3EB3"/>
    <w:rsid w:val="000D57BC"/>
    <w:rsid w:val="000D7A16"/>
    <w:rsid w:val="000E075E"/>
    <w:rsid w:val="001016E1"/>
    <w:rsid w:val="00103320"/>
    <w:rsid w:val="001036F4"/>
    <w:rsid w:val="00105146"/>
    <w:rsid w:val="00105877"/>
    <w:rsid w:val="00107B09"/>
    <w:rsid w:val="001270E7"/>
    <w:rsid w:val="00131B71"/>
    <w:rsid w:val="00154CD8"/>
    <w:rsid w:val="00154FB8"/>
    <w:rsid w:val="001671CD"/>
    <w:rsid w:val="0017767E"/>
    <w:rsid w:val="001817C2"/>
    <w:rsid w:val="0018501E"/>
    <w:rsid w:val="0018591E"/>
    <w:rsid w:val="00185A5A"/>
    <w:rsid w:val="00193239"/>
    <w:rsid w:val="001939D4"/>
    <w:rsid w:val="0019411E"/>
    <w:rsid w:val="0019676E"/>
    <w:rsid w:val="001A6C0F"/>
    <w:rsid w:val="001B23E9"/>
    <w:rsid w:val="001B3FC8"/>
    <w:rsid w:val="001B5051"/>
    <w:rsid w:val="001B6E4D"/>
    <w:rsid w:val="001C60A7"/>
    <w:rsid w:val="001D0946"/>
    <w:rsid w:val="001D1C09"/>
    <w:rsid w:val="001E2CE9"/>
    <w:rsid w:val="001E70BD"/>
    <w:rsid w:val="001F1558"/>
    <w:rsid w:val="001F4222"/>
    <w:rsid w:val="001F5A22"/>
    <w:rsid w:val="001F6F32"/>
    <w:rsid w:val="00201578"/>
    <w:rsid w:val="00201D8B"/>
    <w:rsid w:val="00212368"/>
    <w:rsid w:val="00222B2C"/>
    <w:rsid w:val="00222DFE"/>
    <w:rsid w:val="00223085"/>
    <w:rsid w:val="00227B1A"/>
    <w:rsid w:val="0023489C"/>
    <w:rsid w:val="0024425E"/>
    <w:rsid w:val="002612DF"/>
    <w:rsid w:val="0027086F"/>
    <w:rsid w:val="00270CAC"/>
    <w:rsid w:val="00276976"/>
    <w:rsid w:val="00277270"/>
    <w:rsid w:val="00282374"/>
    <w:rsid w:val="00284C2D"/>
    <w:rsid w:val="002A4938"/>
    <w:rsid w:val="002A695D"/>
    <w:rsid w:val="002A6BBD"/>
    <w:rsid w:val="002C1DC6"/>
    <w:rsid w:val="002C70B0"/>
    <w:rsid w:val="002D3203"/>
    <w:rsid w:val="002D4E7B"/>
    <w:rsid w:val="002D66A2"/>
    <w:rsid w:val="002E1DB8"/>
    <w:rsid w:val="002F26C0"/>
    <w:rsid w:val="00301661"/>
    <w:rsid w:val="0030373B"/>
    <w:rsid w:val="00303FDB"/>
    <w:rsid w:val="0030568F"/>
    <w:rsid w:val="00307436"/>
    <w:rsid w:val="003078E4"/>
    <w:rsid w:val="003110A7"/>
    <w:rsid w:val="00313A02"/>
    <w:rsid w:val="003218A1"/>
    <w:rsid w:val="00323B12"/>
    <w:rsid w:val="0033016E"/>
    <w:rsid w:val="00331098"/>
    <w:rsid w:val="00335D10"/>
    <w:rsid w:val="0034187E"/>
    <w:rsid w:val="0034292F"/>
    <w:rsid w:val="00353A67"/>
    <w:rsid w:val="00353E39"/>
    <w:rsid w:val="00356C5D"/>
    <w:rsid w:val="0035725D"/>
    <w:rsid w:val="00361AC0"/>
    <w:rsid w:val="00370607"/>
    <w:rsid w:val="00373B26"/>
    <w:rsid w:val="0037637B"/>
    <w:rsid w:val="0038094A"/>
    <w:rsid w:val="00385446"/>
    <w:rsid w:val="00391D42"/>
    <w:rsid w:val="003A0380"/>
    <w:rsid w:val="003A5FF4"/>
    <w:rsid w:val="003B553E"/>
    <w:rsid w:val="003C1AD7"/>
    <w:rsid w:val="003C267C"/>
    <w:rsid w:val="003C52D0"/>
    <w:rsid w:val="003D26FA"/>
    <w:rsid w:val="003D5EC3"/>
    <w:rsid w:val="003E0920"/>
    <w:rsid w:val="003F2C15"/>
    <w:rsid w:val="003F5DBD"/>
    <w:rsid w:val="00404881"/>
    <w:rsid w:val="00407084"/>
    <w:rsid w:val="004112A4"/>
    <w:rsid w:val="00415C01"/>
    <w:rsid w:val="00421EE1"/>
    <w:rsid w:val="00422861"/>
    <w:rsid w:val="00424A88"/>
    <w:rsid w:val="00425BD3"/>
    <w:rsid w:val="00425DEC"/>
    <w:rsid w:val="00434086"/>
    <w:rsid w:val="0043430E"/>
    <w:rsid w:val="0043753E"/>
    <w:rsid w:val="00437EE5"/>
    <w:rsid w:val="00443E48"/>
    <w:rsid w:val="00446455"/>
    <w:rsid w:val="0045013C"/>
    <w:rsid w:val="00456BD7"/>
    <w:rsid w:val="00464F3B"/>
    <w:rsid w:val="00470415"/>
    <w:rsid w:val="00472473"/>
    <w:rsid w:val="00476F3F"/>
    <w:rsid w:val="00483EAC"/>
    <w:rsid w:val="00487715"/>
    <w:rsid w:val="00490E8E"/>
    <w:rsid w:val="00493AD6"/>
    <w:rsid w:val="00495430"/>
    <w:rsid w:val="004960BC"/>
    <w:rsid w:val="004A2AD6"/>
    <w:rsid w:val="004B0C46"/>
    <w:rsid w:val="004B4BCA"/>
    <w:rsid w:val="004B7450"/>
    <w:rsid w:val="004C069E"/>
    <w:rsid w:val="004C5289"/>
    <w:rsid w:val="004D2A12"/>
    <w:rsid w:val="004F55DE"/>
    <w:rsid w:val="00500EB3"/>
    <w:rsid w:val="00501104"/>
    <w:rsid w:val="00502B89"/>
    <w:rsid w:val="00502F90"/>
    <w:rsid w:val="00505932"/>
    <w:rsid w:val="00507E4D"/>
    <w:rsid w:val="00510BCD"/>
    <w:rsid w:val="005110BA"/>
    <w:rsid w:val="00512F7F"/>
    <w:rsid w:val="00512FD8"/>
    <w:rsid w:val="00535F55"/>
    <w:rsid w:val="00540BA0"/>
    <w:rsid w:val="0054250C"/>
    <w:rsid w:val="0055252A"/>
    <w:rsid w:val="00557031"/>
    <w:rsid w:val="0056121D"/>
    <w:rsid w:val="0056392E"/>
    <w:rsid w:val="00567275"/>
    <w:rsid w:val="00584F88"/>
    <w:rsid w:val="00585641"/>
    <w:rsid w:val="00586F87"/>
    <w:rsid w:val="00587409"/>
    <w:rsid w:val="005922CC"/>
    <w:rsid w:val="00592413"/>
    <w:rsid w:val="00596D5A"/>
    <w:rsid w:val="005A78FE"/>
    <w:rsid w:val="005B5AF2"/>
    <w:rsid w:val="005C0A4F"/>
    <w:rsid w:val="005C602F"/>
    <w:rsid w:val="005C60E8"/>
    <w:rsid w:val="005C61B8"/>
    <w:rsid w:val="005D24C2"/>
    <w:rsid w:val="005E5AAB"/>
    <w:rsid w:val="006009BA"/>
    <w:rsid w:val="00603B06"/>
    <w:rsid w:val="006142CA"/>
    <w:rsid w:val="0063451B"/>
    <w:rsid w:val="00635C50"/>
    <w:rsid w:val="00641806"/>
    <w:rsid w:val="006426CC"/>
    <w:rsid w:val="00646E70"/>
    <w:rsid w:val="00662BF1"/>
    <w:rsid w:val="0066759B"/>
    <w:rsid w:val="0067745C"/>
    <w:rsid w:val="006961D2"/>
    <w:rsid w:val="006A0B06"/>
    <w:rsid w:val="006A5840"/>
    <w:rsid w:val="006B3B6B"/>
    <w:rsid w:val="006B47C6"/>
    <w:rsid w:val="006C3D06"/>
    <w:rsid w:val="006C4D19"/>
    <w:rsid w:val="006C595F"/>
    <w:rsid w:val="006D586D"/>
    <w:rsid w:val="006D6963"/>
    <w:rsid w:val="006E79F9"/>
    <w:rsid w:val="006F17F5"/>
    <w:rsid w:val="006F2AE8"/>
    <w:rsid w:val="00701F01"/>
    <w:rsid w:val="007061A2"/>
    <w:rsid w:val="00706879"/>
    <w:rsid w:val="007154FF"/>
    <w:rsid w:val="007262B9"/>
    <w:rsid w:val="00727C57"/>
    <w:rsid w:val="007403C5"/>
    <w:rsid w:val="007416C0"/>
    <w:rsid w:val="00743E34"/>
    <w:rsid w:val="0074799E"/>
    <w:rsid w:val="00751A84"/>
    <w:rsid w:val="00753934"/>
    <w:rsid w:val="00756376"/>
    <w:rsid w:val="0075749E"/>
    <w:rsid w:val="00764625"/>
    <w:rsid w:val="00766DF2"/>
    <w:rsid w:val="00776EE8"/>
    <w:rsid w:val="0078324B"/>
    <w:rsid w:val="00783A4D"/>
    <w:rsid w:val="00785A42"/>
    <w:rsid w:val="00785FFC"/>
    <w:rsid w:val="00786915"/>
    <w:rsid w:val="0079073F"/>
    <w:rsid w:val="00792AD4"/>
    <w:rsid w:val="007A187E"/>
    <w:rsid w:val="007A1D3D"/>
    <w:rsid w:val="007A283F"/>
    <w:rsid w:val="007A7337"/>
    <w:rsid w:val="007A7A8B"/>
    <w:rsid w:val="007B0B6E"/>
    <w:rsid w:val="007B125D"/>
    <w:rsid w:val="007B5461"/>
    <w:rsid w:val="007D2E88"/>
    <w:rsid w:val="007D3710"/>
    <w:rsid w:val="007D6CC8"/>
    <w:rsid w:val="007E15F6"/>
    <w:rsid w:val="007E4A31"/>
    <w:rsid w:val="00800BF0"/>
    <w:rsid w:val="00801596"/>
    <w:rsid w:val="00801FB8"/>
    <w:rsid w:val="00803220"/>
    <w:rsid w:val="00805A26"/>
    <w:rsid w:val="0080630B"/>
    <w:rsid w:val="0081149F"/>
    <w:rsid w:val="008246A8"/>
    <w:rsid w:val="00827A0C"/>
    <w:rsid w:val="00837135"/>
    <w:rsid w:val="00841E46"/>
    <w:rsid w:val="008535EE"/>
    <w:rsid w:val="00853B4F"/>
    <w:rsid w:val="00863B9A"/>
    <w:rsid w:val="00883D94"/>
    <w:rsid w:val="008904A5"/>
    <w:rsid w:val="00892B4F"/>
    <w:rsid w:val="00893535"/>
    <w:rsid w:val="00893CB3"/>
    <w:rsid w:val="00894C61"/>
    <w:rsid w:val="00897FCA"/>
    <w:rsid w:val="008A1378"/>
    <w:rsid w:val="008A233D"/>
    <w:rsid w:val="008A2568"/>
    <w:rsid w:val="008A4281"/>
    <w:rsid w:val="008A493C"/>
    <w:rsid w:val="008A5951"/>
    <w:rsid w:val="008B2AA4"/>
    <w:rsid w:val="008C2417"/>
    <w:rsid w:val="008C7810"/>
    <w:rsid w:val="008D1635"/>
    <w:rsid w:val="008D1EE3"/>
    <w:rsid w:val="008E0D64"/>
    <w:rsid w:val="008E4FFD"/>
    <w:rsid w:val="008E7781"/>
    <w:rsid w:val="008E7CD0"/>
    <w:rsid w:val="008F0E7A"/>
    <w:rsid w:val="008F2669"/>
    <w:rsid w:val="008F2B3C"/>
    <w:rsid w:val="008F6614"/>
    <w:rsid w:val="008F6A41"/>
    <w:rsid w:val="009011F3"/>
    <w:rsid w:val="009012C9"/>
    <w:rsid w:val="00906AD3"/>
    <w:rsid w:val="009114AF"/>
    <w:rsid w:val="00912A2C"/>
    <w:rsid w:val="00920B15"/>
    <w:rsid w:val="00923B3E"/>
    <w:rsid w:val="00925E95"/>
    <w:rsid w:val="009270CD"/>
    <w:rsid w:val="00936AE7"/>
    <w:rsid w:val="00941D36"/>
    <w:rsid w:val="00945D36"/>
    <w:rsid w:val="00947A8F"/>
    <w:rsid w:val="009504A3"/>
    <w:rsid w:val="009505E9"/>
    <w:rsid w:val="0095139E"/>
    <w:rsid w:val="00952EDE"/>
    <w:rsid w:val="00954122"/>
    <w:rsid w:val="0095591E"/>
    <w:rsid w:val="00962C8D"/>
    <w:rsid w:val="00976D24"/>
    <w:rsid w:val="00990261"/>
    <w:rsid w:val="00990BBE"/>
    <w:rsid w:val="00992684"/>
    <w:rsid w:val="00995A74"/>
    <w:rsid w:val="00996948"/>
    <w:rsid w:val="009A31CC"/>
    <w:rsid w:val="009B3D0A"/>
    <w:rsid w:val="009B6A95"/>
    <w:rsid w:val="009C28AE"/>
    <w:rsid w:val="009C400A"/>
    <w:rsid w:val="009C546A"/>
    <w:rsid w:val="009C5B06"/>
    <w:rsid w:val="009C6A4B"/>
    <w:rsid w:val="009D11A1"/>
    <w:rsid w:val="009D6347"/>
    <w:rsid w:val="009E36AC"/>
    <w:rsid w:val="009F418C"/>
    <w:rsid w:val="009F4AF1"/>
    <w:rsid w:val="00A00570"/>
    <w:rsid w:val="00A044CF"/>
    <w:rsid w:val="00A0550C"/>
    <w:rsid w:val="00A06E28"/>
    <w:rsid w:val="00A1018C"/>
    <w:rsid w:val="00A1021F"/>
    <w:rsid w:val="00A2761F"/>
    <w:rsid w:val="00A31FD7"/>
    <w:rsid w:val="00A33B4C"/>
    <w:rsid w:val="00A33EA6"/>
    <w:rsid w:val="00A34CE8"/>
    <w:rsid w:val="00A35293"/>
    <w:rsid w:val="00A3755F"/>
    <w:rsid w:val="00A419F9"/>
    <w:rsid w:val="00A52B5E"/>
    <w:rsid w:val="00A53AF0"/>
    <w:rsid w:val="00A55A05"/>
    <w:rsid w:val="00A56D91"/>
    <w:rsid w:val="00A61A3F"/>
    <w:rsid w:val="00A61C0C"/>
    <w:rsid w:val="00A712A1"/>
    <w:rsid w:val="00A7167E"/>
    <w:rsid w:val="00A72C4E"/>
    <w:rsid w:val="00A84DBD"/>
    <w:rsid w:val="00A86E73"/>
    <w:rsid w:val="00A90BA7"/>
    <w:rsid w:val="00AA3776"/>
    <w:rsid w:val="00AA62C2"/>
    <w:rsid w:val="00AD1CBA"/>
    <w:rsid w:val="00AD3281"/>
    <w:rsid w:val="00AF0734"/>
    <w:rsid w:val="00AF3FAF"/>
    <w:rsid w:val="00AF5179"/>
    <w:rsid w:val="00AF6B48"/>
    <w:rsid w:val="00B05E2D"/>
    <w:rsid w:val="00B13809"/>
    <w:rsid w:val="00B16B43"/>
    <w:rsid w:val="00B22781"/>
    <w:rsid w:val="00B27224"/>
    <w:rsid w:val="00B34FA2"/>
    <w:rsid w:val="00B40D5E"/>
    <w:rsid w:val="00B54674"/>
    <w:rsid w:val="00B630F1"/>
    <w:rsid w:val="00B717F5"/>
    <w:rsid w:val="00B72164"/>
    <w:rsid w:val="00B757F0"/>
    <w:rsid w:val="00B7648D"/>
    <w:rsid w:val="00B771DC"/>
    <w:rsid w:val="00B816D6"/>
    <w:rsid w:val="00B85CF1"/>
    <w:rsid w:val="00B86A7B"/>
    <w:rsid w:val="00B90C80"/>
    <w:rsid w:val="00B97805"/>
    <w:rsid w:val="00BB223F"/>
    <w:rsid w:val="00BB2C71"/>
    <w:rsid w:val="00BB3BF0"/>
    <w:rsid w:val="00BB5D34"/>
    <w:rsid w:val="00BB6C29"/>
    <w:rsid w:val="00BD32A1"/>
    <w:rsid w:val="00BE1159"/>
    <w:rsid w:val="00BE41B9"/>
    <w:rsid w:val="00BF355D"/>
    <w:rsid w:val="00C02B5B"/>
    <w:rsid w:val="00C04693"/>
    <w:rsid w:val="00C07C6D"/>
    <w:rsid w:val="00C23323"/>
    <w:rsid w:val="00C40623"/>
    <w:rsid w:val="00C4177B"/>
    <w:rsid w:val="00C426E7"/>
    <w:rsid w:val="00C43545"/>
    <w:rsid w:val="00C449C4"/>
    <w:rsid w:val="00C46A4D"/>
    <w:rsid w:val="00C52419"/>
    <w:rsid w:val="00C55A4A"/>
    <w:rsid w:val="00C63605"/>
    <w:rsid w:val="00C717B0"/>
    <w:rsid w:val="00C728C9"/>
    <w:rsid w:val="00C72F04"/>
    <w:rsid w:val="00C73027"/>
    <w:rsid w:val="00C73340"/>
    <w:rsid w:val="00C83E52"/>
    <w:rsid w:val="00C85A2E"/>
    <w:rsid w:val="00C86517"/>
    <w:rsid w:val="00C92E20"/>
    <w:rsid w:val="00C94AD9"/>
    <w:rsid w:val="00C97549"/>
    <w:rsid w:val="00CA42EB"/>
    <w:rsid w:val="00CC5474"/>
    <w:rsid w:val="00CE2E14"/>
    <w:rsid w:val="00CE39FB"/>
    <w:rsid w:val="00CE5163"/>
    <w:rsid w:val="00CE547E"/>
    <w:rsid w:val="00CF0C2E"/>
    <w:rsid w:val="00CF58DA"/>
    <w:rsid w:val="00CF7AA6"/>
    <w:rsid w:val="00D04611"/>
    <w:rsid w:val="00D108D3"/>
    <w:rsid w:val="00D15238"/>
    <w:rsid w:val="00D233E5"/>
    <w:rsid w:val="00D30FA4"/>
    <w:rsid w:val="00D33453"/>
    <w:rsid w:val="00D517E4"/>
    <w:rsid w:val="00D53B00"/>
    <w:rsid w:val="00D605E9"/>
    <w:rsid w:val="00D61863"/>
    <w:rsid w:val="00D672EF"/>
    <w:rsid w:val="00D7186C"/>
    <w:rsid w:val="00D82ADA"/>
    <w:rsid w:val="00D84CD4"/>
    <w:rsid w:val="00D85421"/>
    <w:rsid w:val="00D97F06"/>
    <w:rsid w:val="00DA5DCC"/>
    <w:rsid w:val="00DA6CFE"/>
    <w:rsid w:val="00DB397E"/>
    <w:rsid w:val="00DC0FF3"/>
    <w:rsid w:val="00DC1039"/>
    <w:rsid w:val="00DC2724"/>
    <w:rsid w:val="00DC3853"/>
    <w:rsid w:val="00DC3B28"/>
    <w:rsid w:val="00DC3EE7"/>
    <w:rsid w:val="00DC5AE7"/>
    <w:rsid w:val="00DC64DB"/>
    <w:rsid w:val="00DD0460"/>
    <w:rsid w:val="00DD0E61"/>
    <w:rsid w:val="00DD2300"/>
    <w:rsid w:val="00DD445D"/>
    <w:rsid w:val="00DE3EFC"/>
    <w:rsid w:val="00DE51A1"/>
    <w:rsid w:val="00DE6C27"/>
    <w:rsid w:val="00DF1FAA"/>
    <w:rsid w:val="00E0003E"/>
    <w:rsid w:val="00E04241"/>
    <w:rsid w:val="00E061A5"/>
    <w:rsid w:val="00E12953"/>
    <w:rsid w:val="00E145E3"/>
    <w:rsid w:val="00E27193"/>
    <w:rsid w:val="00E33C5E"/>
    <w:rsid w:val="00E41E73"/>
    <w:rsid w:val="00E42B7D"/>
    <w:rsid w:val="00E44F7B"/>
    <w:rsid w:val="00E51B8A"/>
    <w:rsid w:val="00E51DFD"/>
    <w:rsid w:val="00E75B43"/>
    <w:rsid w:val="00E77A48"/>
    <w:rsid w:val="00E83056"/>
    <w:rsid w:val="00E85B88"/>
    <w:rsid w:val="00E92728"/>
    <w:rsid w:val="00EA0C62"/>
    <w:rsid w:val="00EA2741"/>
    <w:rsid w:val="00EB40E0"/>
    <w:rsid w:val="00EB55B4"/>
    <w:rsid w:val="00EC3CD7"/>
    <w:rsid w:val="00EC67D4"/>
    <w:rsid w:val="00ED24F8"/>
    <w:rsid w:val="00ED5FF6"/>
    <w:rsid w:val="00EE0B63"/>
    <w:rsid w:val="00EE2D71"/>
    <w:rsid w:val="00EF29DE"/>
    <w:rsid w:val="00F02EED"/>
    <w:rsid w:val="00F03E79"/>
    <w:rsid w:val="00F12961"/>
    <w:rsid w:val="00F1533F"/>
    <w:rsid w:val="00F208AE"/>
    <w:rsid w:val="00F23B62"/>
    <w:rsid w:val="00F27FF0"/>
    <w:rsid w:val="00F44058"/>
    <w:rsid w:val="00F52449"/>
    <w:rsid w:val="00F55A5A"/>
    <w:rsid w:val="00F624FC"/>
    <w:rsid w:val="00F64300"/>
    <w:rsid w:val="00F65720"/>
    <w:rsid w:val="00F65AAE"/>
    <w:rsid w:val="00F70EDD"/>
    <w:rsid w:val="00F72F7F"/>
    <w:rsid w:val="00F75E70"/>
    <w:rsid w:val="00F80640"/>
    <w:rsid w:val="00F84A28"/>
    <w:rsid w:val="00F853AE"/>
    <w:rsid w:val="00F8768A"/>
    <w:rsid w:val="00F87C6A"/>
    <w:rsid w:val="00F9474B"/>
    <w:rsid w:val="00F97E09"/>
    <w:rsid w:val="00F97EDD"/>
    <w:rsid w:val="00FA3E5F"/>
    <w:rsid w:val="00FA3EC6"/>
    <w:rsid w:val="00FA45CE"/>
    <w:rsid w:val="00FB2AA8"/>
    <w:rsid w:val="00FB492D"/>
    <w:rsid w:val="00FC42A3"/>
    <w:rsid w:val="00FC5AE4"/>
    <w:rsid w:val="00FD059F"/>
    <w:rsid w:val="00FD22B7"/>
    <w:rsid w:val="00FD36C3"/>
    <w:rsid w:val="00FE3BD2"/>
    <w:rsid w:val="00FF5A1C"/>
    <w:rsid w:val="00FF6D86"/>
    <w:rsid w:val="0ACF2333"/>
    <w:rsid w:val="1B9E66C9"/>
    <w:rsid w:val="1DFD34C1"/>
    <w:rsid w:val="5B935F93"/>
    <w:rsid w:val="6DD4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4E794"/>
  <w15:docId w15:val="{36579308-3C82-4FE6-831A-DA987B0C2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qFormat/>
    <w:pPr>
      <w:keepNext/>
      <w:keepLines/>
      <w:numPr>
        <w:numId w:val="1"/>
      </w:numPr>
      <w:spacing w:line="360" w:lineRule="auto"/>
      <w:outlineLvl w:val="0"/>
    </w:pPr>
    <w:rPr>
      <w:rFonts w:eastAsia="黑体"/>
      <w:b/>
      <w:bCs/>
      <w:kern w:val="44"/>
      <w:sz w:val="32"/>
      <w:szCs w:val="44"/>
    </w:rPr>
  </w:style>
  <w:style w:type="paragraph" w:styleId="2">
    <w:name w:val="heading 2"/>
    <w:basedOn w:val="a"/>
    <w:next w:val="a"/>
    <w:link w:val="20"/>
    <w:qFormat/>
    <w:pPr>
      <w:keepNext/>
      <w:keepLines/>
      <w:numPr>
        <w:ilvl w:val="1"/>
        <w:numId w:val="1"/>
      </w:numPr>
      <w:spacing w:line="360" w:lineRule="auto"/>
      <w:outlineLvl w:val="1"/>
    </w:pPr>
    <w:rPr>
      <w:rFonts w:ascii="Calibri Light" w:eastAsia="黑体" w:hAnsi="Calibri Light"/>
      <w:b/>
      <w:bCs/>
      <w:sz w:val="30"/>
      <w:szCs w:val="32"/>
    </w:rPr>
  </w:style>
  <w:style w:type="paragraph" w:styleId="3">
    <w:name w:val="heading 3"/>
    <w:basedOn w:val="a"/>
    <w:next w:val="a"/>
    <w:link w:val="30"/>
    <w:qFormat/>
    <w:pPr>
      <w:keepNext/>
      <w:keepLines/>
      <w:numPr>
        <w:ilvl w:val="2"/>
        <w:numId w:val="1"/>
      </w:numPr>
      <w:spacing w:line="360" w:lineRule="auto"/>
      <w:outlineLvl w:val="2"/>
    </w:pPr>
    <w:rPr>
      <w:rFonts w:ascii="黑体" w:eastAsia="黑体" w:hAnsi="黑体"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31">
    <w:name w:val="toc 3"/>
    <w:basedOn w:val="a"/>
    <w:next w:val="a"/>
    <w:uiPriority w:val="39"/>
    <w:unhideWhenUsed/>
    <w:qFormat/>
    <w:pPr>
      <w:widowControl/>
      <w:spacing w:after="100" w:line="276" w:lineRule="auto"/>
      <w:ind w:left="440"/>
      <w:jc w:val="left"/>
    </w:pPr>
    <w:rPr>
      <w:rFonts w:asciiTheme="minorHAnsi" w:eastAsiaTheme="minorEastAsia" w:hAnsiTheme="minorHAnsi" w:cstheme="minorBidi"/>
      <w:kern w:val="0"/>
      <w:sz w:val="22"/>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widowControl/>
      <w:spacing w:after="100" w:line="276" w:lineRule="auto"/>
      <w:jc w:val="left"/>
    </w:pPr>
    <w:rPr>
      <w:rFonts w:asciiTheme="minorHAnsi" w:eastAsiaTheme="minorEastAsia" w:hAnsiTheme="minorHAnsi" w:cstheme="minorBidi"/>
      <w:kern w:val="0"/>
      <w:sz w:val="22"/>
    </w:rPr>
  </w:style>
  <w:style w:type="paragraph" w:styleId="21">
    <w:name w:val="toc 2"/>
    <w:basedOn w:val="a"/>
    <w:next w:val="a"/>
    <w:uiPriority w:val="39"/>
    <w:unhideWhenUsed/>
    <w:qFormat/>
    <w:pPr>
      <w:widowControl/>
      <w:spacing w:after="100" w:line="276" w:lineRule="auto"/>
      <w:ind w:left="220"/>
      <w:jc w:val="left"/>
    </w:pPr>
    <w:rPr>
      <w:rFonts w:asciiTheme="minorHAnsi" w:eastAsiaTheme="minorEastAsia" w:hAnsiTheme="minorHAnsi" w:cstheme="minorBidi"/>
      <w:kern w:val="0"/>
      <w:sz w:val="22"/>
    </w:rPr>
  </w:style>
  <w:style w:type="character" w:styleId="ad">
    <w:name w:val="annotation reference"/>
    <w:basedOn w:val="a0"/>
    <w:uiPriority w:val="99"/>
    <w:unhideWhenUsed/>
    <w:qFormat/>
    <w:rPr>
      <w:sz w:val="21"/>
      <w:szCs w:val="21"/>
    </w:rPr>
  </w:style>
  <w:style w:type="character" w:customStyle="1" w:styleId="1Char">
    <w:name w:val="标题 1 Char"/>
    <w:basedOn w:val="a0"/>
    <w:uiPriority w:val="9"/>
    <w:qFormat/>
    <w:rPr>
      <w:rFonts w:ascii="Calibri" w:eastAsia="宋体" w:hAnsi="Calibri" w:cs="Times New Roman"/>
      <w:b/>
      <w:bCs/>
      <w:kern w:val="44"/>
      <w:sz w:val="44"/>
      <w:szCs w:val="44"/>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3Char">
    <w:name w:val="标题 3 Char"/>
    <w:basedOn w:val="a0"/>
    <w:uiPriority w:val="9"/>
    <w:semiHidden/>
    <w:rPr>
      <w:rFonts w:ascii="Calibri" w:eastAsia="宋体" w:hAnsi="Calibri" w:cs="Times New Roman"/>
      <w:b/>
      <w:bCs/>
      <w:sz w:val="32"/>
      <w:szCs w:val="32"/>
    </w:rPr>
  </w:style>
  <w:style w:type="character" w:customStyle="1" w:styleId="30">
    <w:name w:val="标题 3 字符"/>
    <w:link w:val="3"/>
    <w:qFormat/>
    <w:rPr>
      <w:rFonts w:ascii="黑体" w:eastAsia="黑体" w:hAnsi="黑体" w:cs="黑体"/>
      <w:b/>
      <w:bCs/>
      <w:sz w:val="28"/>
      <w:szCs w:val="28"/>
    </w:rPr>
  </w:style>
  <w:style w:type="character" w:customStyle="1" w:styleId="20">
    <w:name w:val="标题 2 字符"/>
    <w:link w:val="2"/>
    <w:qFormat/>
    <w:rPr>
      <w:rFonts w:ascii="Calibri Light" w:eastAsia="黑体" w:hAnsi="Calibri Light" w:cs="Times New Roman"/>
      <w:b/>
      <w:bCs/>
      <w:sz w:val="30"/>
      <w:szCs w:val="32"/>
    </w:rPr>
  </w:style>
  <w:style w:type="character" w:customStyle="1" w:styleId="10">
    <w:name w:val="标题 1 字符"/>
    <w:link w:val="1"/>
    <w:qFormat/>
    <w:rPr>
      <w:rFonts w:ascii="Calibri" w:eastAsia="黑体" w:hAnsi="Calibri" w:cs="Times New Roman"/>
      <w:b/>
      <w:bCs/>
      <w:kern w:val="44"/>
      <w:sz w:val="32"/>
      <w:szCs w:val="44"/>
    </w:rPr>
  </w:style>
  <w:style w:type="character" w:customStyle="1" w:styleId="310">
    <w:name w:val="标题 3 字符1"/>
    <w:qFormat/>
    <w:rPr>
      <w:rFonts w:ascii="黑体" w:eastAsia="黑体" w:hAnsi="黑体" w:cs="黑体"/>
      <w:b/>
      <w:bCs/>
      <w:kern w:val="2"/>
      <w:sz w:val="28"/>
      <w:szCs w:val="28"/>
    </w:rPr>
  </w:style>
  <w:style w:type="character" w:customStyle="1" w:styleId="ac">
    <w:name w:val="页眉 字符"/>
    <w:basedOn w:val="a0"/>
    <w:link w:val="ab"/>
    <w:uiPriority w:val="99"/>
    <w:qFormat/>
    <w:rPr>
      <w:rFonts w:ascii="Calibri" w:eastAsia="宋体" w:hAnsi="Calibri" w:cs="Times New Roman"/>
      <w:sz w:val="18"/>
      <w:szCs w:val="18"/>
    </w:rPr>
  </w:style>
  <w:style w:type="character" w:customStyle="1" w:styleId="aa">
    <w:name w:val="页脚 字符"/>
    <w:basedOn w:val="a0"/>
    <w:link w:val="a9"/>
    <w:uiPriority w:val="99"/>
    <w:qFormat/>
    <w:rPr>
      <w:rFonts w:ascii="Calibri" w:eastAsia="宋体" w:hAnsi="Calibri" w:cs="Times New Roman"/>
      <w:sz w:val="18"/>
      <w:szCs w:val="18"/>
    </w:rPr>
  </w:style>
  <w:style w:type="paragraph" w:customStyle="1" w:styleId="12">
    <w:name w:val="列出段落1"/>
    <w:basedOn w:val="a"/>
    <w:uiPriority w:val="34"/>
    <w:qFormat/>
    <w:pPr>
      <w:ind w:firstLineChars="200" w:firstLine="420"/>
    </w:pPr>
    <w:rPr>
      <w:rFonts w:cs="黑体"/>
    </w:rPr>
  </w:style>
  <w:style w:type="paragraph" w:customStyle="1" w:styleId="22">
    <w:name w:val="列出段落2"/>
    <w:basedOn w:val="a"/>
    <w:uiPriority w:val="34"/>
    <w:qFormat/>
    <w:pPr>
      <w:ind w:firstLineChars="200" w:firstLine="420"/>
    </w:pPr>
  </w:style>
  <w:style w:type="paragraph" w:customStyle="1" w:styleId="TOC1">
    <w:name w:val="TOC 标题1"/>
    <w:basedOn w:val="1"/>
    <w:next w:val="a"/>
    <w:uiPriority w:val="39"/>
    <w:unhideWhenUsed/>
    <w:qFormat/>
    <w:pPr>
      <w:widowControl/>
      <w:numPr>
        <w:numId w:val="0"/>
      </w:numPr>
      <w:spacing w:before="48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character" w:customStyle="1" w:styleId="a6">
    <w:name w:val="批注文字 字符"/>
    <w:basedOn w:val="a0"/>
    <w:link w:val="a4"/>
    <w:uiPriority w:val="99"/>
    <w:qFormat/>
    <w:rPr>
      <w:rFonts w:ascii="Calibri" w:eastAsia="宋体" w:hAnsi="Calibri" w:cs="Times New Roman"/>
    </w:rPr>
  </w:style>
  <w:style w:type="character" w:customStyle="1" w:styleId="a5">
    <w:name w:val="批注主题 字符"/>
    <w:basedOn w:val="a6"/>
    <w:link w:val="a3"/>
    <w:uiPriority w:val="99"/>
    <w:semiHidden/>
    <w:qFormat/>
    <w:rPr>
      <w:rFonts w:ascii="Calibri" w:eastAsia="宋体" w:hAnsi="Calibri" w:cs="Times New Roman"/>
      <w:b/>
      <w:bCs/>
    </w:rPr>
  </w:style>
  <w:style w:type="paragraph" w:customStyle="1" w:styleId="13">
    <w:name w:val="修订1"/>
    <w:hidden/>
    <w:uiPriority w:val="99"/>
    <w:semiHidden/>
    <w:qFormat/>
    <w:rPr>
      <w:rFonts w:ascii="Calibri" w:eastAsia="宋体" w:hAnsi="Calibri" w:cs="Times New Roman"/>
      <w:kern w:val="2"/>
      <w:sz w:val="21"/>
      <w:szCs w:val="22"/>
    </w:rPr>
  </w:style>
  <w:style w:type="character" w:customStyle="1" w:styleId="Char">
    <w:name w:val="批注文字 Char"/>
    <w:basedOn w:val="a0"/>
    <w:uiPriority w:val="99"/>
    <w:semiHidden/>
    <w:qFormat/>
    <w:rPr>
      <w:rFonts w:ascii="Calibri" w:eastAsia="宋体" w:hAnsi="Calibri" w:cs="Times New Roman"/>
    </w:rPr>
  </w:style>
  <w:style w:type="paragraph" w:customStyle="1" w:styleId="23">
    <w:name w:val="修订2"/>
    <w:hidden/>
    <w:uiPriority w:val="99"/>
    <w:semiHidden/>
    <w:qFormat/>
    <w:rPr>
      <w:rFonts w:ascii="Calibri" w:eastAsia="宋体" w:hAnsi="Calibri" w:cs="Times New Roman"/>
      <w:kern w:val="2"/>
      <w:sz w:val="21"/>
      <w:szCs w:val="22"/>
    </w:rPr>
  </w:style>
  <w:style w:type="paragraph" w:styleId="ae">
    <w:name w:val="Revision"/>
    <w:hidden/>
    <w:uiPriority w:val="99"/>
    <w:semiHidden/>
    <w:rsid w:val="00E061A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1CE52A-2F60-4AA4-AA65-82EA02C5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2038</Words>
  <Characters>11620</Characters>
  <Application>Microsoft Office Word</Application>
  <DocSecurity>0</DocSecurity>
  <Lines>96</Lines>
  <Paragraphs>27</Paragraphs>
  <ScaleCrop>false</ScaleCrop>
  <Company>Microsoft</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李静</dc:creator>
  <cp:lastModifiedBy>lenovo</cp:lastModifiedBy>
  <cp:revision>7</cp:revision>
  <cp:lastPrinted>2016-07-15T00:51:00Z</cp:lastPrinted>
  <dcterms:created xsi:type="dcterms:W3CDTF">2016-07-28T03:35:00Z</dcterms:created>
  <dcterms:modified xsi:type="dcterms:W3CDTF">2016-07-29T09:10:00Z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