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0D094E" w:rsidRPr="000D094E">
        <w:trPr>
          <w:tblCellSpacing w:w="0" w:type="dxa"/>
          <w:jc w:val="center"/>
        </w:trPr>
        <w:tc>
          <w:tcPr>
            <w:tcW w:w="0" w:type="auto"/>
            <w:tcMar>
              <w:top w:w="30" w:type="dxa"/>
              <w:left w:w="0" w:type="dxa"/>
              <w:bottom w:w="150" w:type="dxa"/>
              <w:right w:w="0" w:type="dxa"/>
            </w:tcMar>
            <w:vAlign w:val="center"/>
            <w:hideMark/>
          </w:tcPr>
          <w:p w:rsidR="000D094E" w:rsidRPr="000D094E" w:rsidRDefault="000D094E" w:rsidP="000D094E">
            <w:pPr>
              <w:widowControl/>
              <w:spacing w:line="360" w:lineRule="auto"/>
              <w:jc w:val="center"/>
              <w:rPr>
                <w:rFonts w:ascii="ˎ̥" w:eastAsia="宋体" w:hAnsi="ˎ̥" w:cs="Arial"/>
                <w:b/>
                <w:bCs/>
                <w:color w:val="093A96"/>
                <w:kern w:val="0"/>
                <w:sz w:val="33"/>
                <w:szCs w:val="33"/>
              </w:rPr>
            </w:pPr>
            <w:bookmarkStart w:id="0" w:name="_GoBack"/>
            <w:r w:rsidRPr="000D094E">
              <w:rPr>
                <w:rFonts w:ascii="ˎ̥" w:eastAsia="宋体" w:hAnsi="ˎ̥" w:cs="Arial"/>
                <w:b/>
                <w:bCs/>
                <w:color w:val="093A96"/>
                <w:kern w:val="0"/>
                <w:sz w:val="33"/>
                <w:szCs w:val="33"/>
              </w:rPr>
              <w:t>《医疗器械分类规则》（国家食品药品监督管理总局令第</w:t>
            </w:r>
            <w:r w:rsidRPr="000D094E">
              <w:rPr>
                <w:rFonts w:ascii="ˎ̥" w:eastAsia="宋体" w:hAnsi="ˎ̥" w:cs="Arial"/>
                <w:b/>
                <w:bCs/>
                <w:color w:val="093A96"/>
                <w:kern w:val="0"/>
                <w:sz w:val="33"/>
                <w:szCs w:val="33"/>
              </w:rPr>
              <w:t>15</w:t>
            </w:r>
            <w:r w:rsidRPr="000D094E">
              <w:rPr>
                <w:rFonts w:ascii="ˎ̥" w:eastAsia="宋体" w:hAnsi="ˎ̥" w:cs="Arial"/>
                <w:b/>
                <w:bCs/>
                <w:color w:val="093A96"/>
                <w:kern w:val="0"/>
                <w:sz w:val="33"/>
                <w:szCs w:val="33"/>
              </w:rPr>
              <w:t>号）</w:t>
            </w:r>
            <w:r w:rsidRPr="000D094E">
              <w:rPr>
                <w:rFonts w:ascii="ˎ̥" w:eastAsia="宋体" w:hAnsi="ˎ̥" w:cs="Arial"/>
                <w:b/>
                <w:bCs/>
                <w:color w:val="093A96"/>
                <w:kern w:val="0"/>
                <w:sz w:val="33"/>
                <w:szCs w:val="33"/>
              </w:rPr>
              <w:t xml:space="preserve"> </w:t>
            </w:r>
            <w:bookmarkEnd w:id="0"/>
          </w:p>
        </w:tc>
      </w:tr>
      <w:tr w:rsidR="000D094E" w:rsidRPr="000D094E">
        <w:trPr>
          <w:tblCellSpacing w:w="0" w:type="dxa"/>
          <w:jc w:val="center"/>
        </w:trPr>
        <w:tc>
          <w:tcPr>
            <w:tcW w:w="0" w:type="auto"/>
            <w:vAlign w:val="center"/>
            <w:hideMark/>
          </w:tcPr>
          <w:p w:rsidR="000D094E" w:rsidRPr="000D094E" w:rsidRDefault="000D094E" w:rsidP="000D094E">
            <w:pPr>
              <w:widowControl/>
              <w:spacing w:line="360" w:lineRule="auto"/>
              <w:jc w:val="center"/>
              <w:rPr>
                <w:rFonts w:ascii="ˎ̥" w:eastAsia="宋体" w:hAnsi="ˎ̥" w:cs="Arial"/>
                <w:b/>
                <w:bCs/>
                <w:color w:val="093A96"/>
                <w:kern w:val="0"/>
                <w:sz w:val="33"/>
                <w:szCs w:val="33"/>
              </w:rPr>
            </w:pPr>
          </w:p>
        </w:tc>
      </w:tr>
      <w:tr w:rsidR="000D094E" w:rsidRPr="000D094E">
        <w:trPr>
          <w:tblCellSpacing w:w="0" w:type="dxa"/>
          <w:jc w:val="center"/>
        </w:trPr>
        <w:tc>
          <w:tcPr>
            <w:tcW w:w="0" w:type="auto"/>
            <w:tcMar>
              <w:top w:w="120" w:type="dxa"/>
              <w:left w:w="0" w:type="dxa"/>
              <w:bottom w:w="0" w:type="dxa"/>
              <w:right w:w="0" w:type="dxa"/>
            </w:tcMar>
            <w:vAlign w:val="center"/>
            <w:hideMark/>
          </w:tcPr>
          <w:p w:rsidR="000D094E" w:rsidRPr="000D094E" w:rsidRDefault="000D094E" w:rsidP="000D094E">
            <w:pPr>
              <w:widowControl/>
              <w:spacing w:line="360" w:lineRule="auto"/>
              <w:jc w:val="right"/>
              <w:rPr>
                <w:rFonts w:ascii="ˎ̥" w:eastAsia="宋体" w:hAnsi="ˎ̥" w:cs="Arial"/>
                <w:color w:val="919191"/>
                <w:kern w:val="0"/>
                <w:szCs w:val="21"/>
              </w:rPr>
            </w:pPr>
            <w:r w:rsidRPr="000D094E">
              <w:rPr>
                <w:rFonts w:ascii="ˎ̥" w:eastAsia="宋体" w:hAnsi="ˎ̥" w:cs="Arial"/>
                <w:color w:val="919191"/>
                <w:kern w:val="0"/>
                <w:szCs w:val="21"/>
              </w:rPr>
              <w:t>2015</w:t>
            </w:r>
            <w:r w:rsidRPr="000D094E">
              <w:rPr>
                <w:rFonts w:ascii="ˎ̥" w:eastAsia="宋体" w:hAnsi="ˎ̥" w:cs="Arial"/>
                <w:color w:val="919191"/>
                <w:kern w:val="0"/>
                <w:szCs w:val="21"/>
              </w:rPr>
              <w:t>年</w:t>
            </w:r>
            <w:r w:rsidRPr="000D094E">
              <w:rPr>
                <w:rFonts w:ascii="ˎ̥" w:eastAsia="宋体" w:hAnsi="ˎ̥" w:cs="Arial"/>
                <w:color w:val="919191"/>
                <w:kern w:val="0"/>
                <w:szCs w:val="21"/>
              </w:rPr>
              <w:t>07</w:t>
            </w:r>
            <w:r w:rsidRPr="000D094E">
              <w:rPr>
                <w:rFonts w:ascii="ˎ̥" w:eastAsia="宋体" w:hAnsi="ˎ̥" w:cs="Arial"/>
                <w:color w:val="919191"/>
                <w:kern w:val="0"/>
                <w:szCs w:val="21"/>
              </w:rPr>
              <w:t>月</w:t>
            </w:r>
            <w:r w:rsidRPr="000D094E">
              <w:rPr>
                <w:rFonts w:ascii="ˎ̥" w:eastAsia="宋体" w:hAnsi="ˎ̥" w:cs="Arial"/>
                <w:color w:val="919191"/>
                <w:kern w:val="0"/>
                <w:szCs w:val="21"/>
              </w:rPr>
              <w:t>14</w:t>
            </w:r>
            <w:r w:rsidRPr="000D094E">
              <w:rPr>
                <w:rFonts w:ascii="ˎ̥" w:eastAsia="宋体" w:hAnsi="ˎ̥" w:cs="Arial"/>
                <w:color w:val="919191"/>
                <w:kern w:val="0"/>
                <w:szCs w:val="21"/>
              </w:rPr>
              <w:t>日</w:t>
            </w:r>
            <w:r w:rsidRPr="000D094E">
              <w:rPr>
                <w:rFonts w:ascii="ˎ̥" w:eastAsia="宋体" w:hAnsi="ˎ̥" w:cs="Arial"/>
                <w:color w:val="919191"/>
                <w:kern w:val="0"/>
                <w:szCs w:val="21"/>
              </w:rPr>
              <w:t xml:space="preserve"> </w:t>
            </w:r>
            <w:r w:rsidRPr="000D094E">
              <w:rPr>
                <w:rFonts w:ascii="ˎ̥" w:eastAsia="宋体" w:hAnsi="ˎ̥" w:cs="Arial"/>
                <w:color w:val="919191"/>
                <w:kern w:val="0"/>
                <w:szCs w:val="21"/>
              </w:rPr>
              <w:t>发布</w:t>
            </w:r>
            <w:r w:rsidRPr="000D094E">
              <w:rPr>
                <w:rFonts w:ascii="ˎ̥" w:eastAsia="宋体" w:hAnsi="ˎ̥" w:cs="Arial"/>
                <w:color w:val="919191"/>
                <w:kern w:val="0"/>
                <w:szCs w:val="21"/>
              </w:rPr>
              <w:t xml:space="preserve"> </w:t>
            </w:r>
          </w:p>
        </w:tc>
      </w:tr>
      <w:tr w:rsidR="000D094E" w:rsidRPr="000D094E">
        <w:trPr>
          <w:trHeight w:val="60"/>
          <w:tblCellSpacing w:w="0" w:type="dxa"/>
          <w:jc w:val="center"/>
        </w:trPr>
        <w:tc>
          <w:tcPr>
            <w:tcW w:w="5000" w:type="pct"/>
            <w:vAlign w:val="center"/>
            <w:hideMark/>
          </w:tcPr>
          <w:p w:rsidR="000D094E" w:rsidRPr="000D094E" w:rsidRDefault="000D094E" w:rsidP="000D094E">
            <w:pPr>
              <w:widowControl/>
              <w:spacing w:line="360" w:lineRule="auto"/>
              <w:jc w:val="right"/>
              <w:rPr>
                <w:rFonts w:ascii="ˎ̥" w:eastAsia="宋体" w:hAnsi="ˎ̥" w:cs="Arial"/>
                <w:color w:val="919191"/>
                <w:kern w:val="0"/>
                <w:szCs w:val="21"/>
              </w:rPr>
            </w:pPr>
          </w:p>
        </w:tc>
      </w:tr>
      <w:tr w:rsidR="000D094E" w:rsidRPr="000D094E">
        <w:trPr>
          <w:tblCellSpacing w:w="0" w:type="dxa"/>
          <w:jc w:val="center"/>
        </w:trPr>
        <w:tc>
          <w:tcPr>
            <w:tcW w:w="0" w:type="auto"/>
            <w:tcMar>
              <w:top w:w="300" w:type="dxa"/>
              <w:left w:w="0" w:type="dxa"/>
              <w:bottom w:w="0" w:type="dxa"/>
              <w:right w:w="0" w:type="dxa"/>
            </w:tcMar>
            <w:vAlign w:val="center"/>
            <w:hideMark/>
          </w:tcPr>
          <w:p w:rsidR="000D094E" w:rsidRPr="000D094E" w:rsidRDefault="000D094E" w:rsidP="000D094E">
            <w:pPr>
              <w:widowControl/>
              <w:spacing w:before="100" w:beforeAutospacing="1" w:after="100" w:afterAutospacing="1" w:line="480" w:lineRule="auto"/>
              <w:jc w:val="center"/>
              <w:rPr>
                <w:rFonts w:ascii="ˎ̥" w:eastAsia="宋体" w:hAnsi="ˎ̥" w:cs="Arial"/>
                <w:color w:val="000000"/>
                <w:kern w:val="0"/>
                <w:szCs w:val="21"/>
              </w:rPr>
            </w:pPr>
            <w:r w:rsidRPr="000D094E">
              <w:rPr>
                <w:rFonts w:ascii="仿宋_gb2312" w:eastAsia="仿宋_gb2312" w:hAnsi="ˎ̥" w:cs="Arial" w:hint="eastAsia"/>
                <w:b/>
                <w:bCs/>
                <w:color w:val="FF0000"/>
                <w:kern w:val="0"/>
                <w:sz w:val="48"/>
                <w:szCs w:val="48"/>
              </w:rPr>
              <w:t>国家食品药品监督管理总局令</w:t>
            </w:r>
          </w:p>
          <w:p w:rsidR="000D094E" w:rsidRPr="000D094E" w:rsidRDefault="000D094E" w:rsidP="000D094E">
            <w:pPr>
              <w:widowControl/>
              <w:spacing w:before="100" w:beforeAutospacing="1" w:after="100" w:afterAutospacing="1" w:line="480" w:lineRule="auto"/>
              <w:jc w:val="center"/>
              <w:rPr>
                <w:rFonts w:ascii="ˎ̥" w:eastAsia="宋体" w:hAnsi="ˎ̥" w:cs="Arial"/>
                <w:color w:val="000000"/>
                <w:kern w:val="0"/>
                <w:szCs w:val="21"/>
              </w:rPr>
            </w:pPr>
            <w:r w:rsidRPr="000D094E">
              <w:rPr>
                <w:rFonts w:ascii="仿宋_gb2312" w:eastAsia="仿宋_gb2312" w:hAnsi="ˎ̥" w:cs="Arial" w:hint="eastAsia"/>
                <w:color w:val="000000"/>
                <w:kern w:val="0"/>
                <w:sz w:val="26"/>
                <w:szCs w:val="26"/>
              </w:rPr>
              <w:t>第15号</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bookmarkStart w:id="1" w:name="word_number_fieldΩ1"/>
            <w:bookmarkEnd w:id="1"/>
            <w:r w:rsidRPr="000D094E">
              <w:rPr>
                <w:rFonts w:ascii="宋体" w:eastAsia="宋体" w:hAnsi="宋体" w:cs="Arial" w:hint="eastAsia"/>
                <w:color w:val="000000"/>
                <w:kern w:val="0"/>
                <w:szCs w:val="21"/>
              </w:rPr>
              <w:t xml:space="preserve">　　《医疗器械分类规则》已经</w:t>
            </w:r>
            <w:r w:rsidRPr="000D094E">
              <w:rPr>
                <w:rFonts w:ascii="ˎ̥" w:eastAsia="宋体" w:hAnsi="ˎ̥" w:cs="Arial"/>
                <w:color w:val="000000"/>
                <w:kern w:val="0"/>
                <w:szCs w:val="21"/>
              </w:rPr>
              <w:t>2015</w:t>
            </w:r>
            <w:r w:rsidRPr="000D094E">
              <w:rPr>
                <w:rFonts w:ascii="宋体" w:eastAsia="宋体" w:hAnsi="宋体" w:cs="Arial" w:hint="eastAsia"/>
                <w:color w:val="000000"/>
                <w:kern w:val="0"/>
                <w:szCs w:val="21"/>
              </w:rPr>
              <w:t>年</w:t>
            </w:r>
            <w:r w:rsidRPr="000D094E">
              <w:rPr>
                <w:rFonts w:ascii="ˎ̥" w:eastAsia="宋体" w:hAnsi="ˎ̥" w:cs="Arial"/>
                <w:color w:val="000000"/>
                <w:kern w:val="0"/>
                <w:szCs w:val="21"/>
              </w:rPr>
              <w:t>6</w:t>
            </w:r>
            <w:r w:rsidRPr="000D094E">
              <w:rPr>
                <w:rFonts w:ascii="宋体" w:eastAsia="宋体" w:hAnsi="宋体" w:cs="Arial" w:hint="eastAsia"/>
                <w:color w:val="000000"/>
                <w:kern w:val="0"/>
                <w:szCs w:val="21"/>
              </w:rPr>
              <w:t>月</w:t>
            </w:r>
            <w:r w:rsidRPr="000D094E">
              <w:rPr>
                <w:rFonts w:ascii="ˎ̥" w:eastAsia="宋体" w:hAnsi="ˎ̥" w:cs="Arial"/>
                <w:color w:val="000000"/>
                <w:kern w:val="0"/>
                <w:szCs w:val="21"/>
              </w:rPr>
              <w:t>3</w:t>
            </w:r>
            <w:r w:rsidRPr="000D094E">
              <w:rPr>
                <w:rFonts w:ascii="宋体" w:eastAsia="宋体" w:hAnsi="宋体" w:cs="Arial" w:hint="eastAsia"/>
                <w:color w:val="000000"/>
                <w:kern w:val="0"/>
                <w:szCs w:val="21"/>
              </w:rPr>
              <w:t>日国家食品药品监督管理总局局务会议审议通过，现予公布，自</w:t>
            </w:r>
            <w:r w:rsidRPr="000D094E">
              <w:rPr>
                <w:rFonts w:ascii="ˎ̥" w:eastAsia="宋体" w:hAnsi="ˎ̥" w:cs="Arial"/>
                <w:color w:val="000000"/>
                <w:kern w:val="0"/>
                <w:szCs w:val="21"/>
              </w:rPr>
              <w:t>2016</w:t>
            </w:r>
            <w:r w:rsidRPr="000D094E">
              <w:rPr>
                <w:rFonts w:ascii="宋体" w:eastAsia="宋体" w:hAnsi="宋体" w:cs="Arial" w:hint="eastAsia"/>
                <w:color w:val="000000"/>
                <w:kern w:val="0"/>
                <w:szCs w:val="21"/>
              </w:rPr>
              <w:t>年</w:t>
            </w:r>
            <w:r w:rsidRPr="000D094E">
              <w:rPr>
                <w:rFonts w:ascii="ˎ̥" w:eastAsia="宋体" w:hAnsi="ˎ̥" w:cs="Arial"/>
                <w:color w:val="000000"/>
                <w:kern w:val="0"/>
                <w:szCs w:val="21"/>
              </w:rPr>
              <w:t>1</w:t>
            </w:r>
            <w:r w:rsidRPr="000D094E">
              <w:rPr>
                <w:rFonts w:ascii="宋体" w:eastAsia="宋体" w:hAnsi="宋体" w:cs="Arial" w:hint="eastAsia"/>
                <w:color w:val="000000"/>
                <w:kern w:val="0"/>
                <w:szCs w:val="21"/>
              </w:rPr>
              <w:t>月</w:t>
            </w:r>
            <w:r w:rsidRPr="000D094E">
              <w:rPr>
                <w:rFonts w:ascii="ˎ̥" w:eastAsia="宋体" w:hAnsi="ˎ̥" w:cs="Arial"/>
                <w:color w:val="000000"/>
                <w:kern w:val="0"/>
                <w:szCs w:val="21"/>
              </w:rPr>
              <w:t>1</w:t>
            </w:r>
            <w:r w:rsidRPr="000D094E">
              <w:rPr>
                <w:rFonts w:ascii="宋体" w:eastAsia="宋体" w:hAnsi="宋体" w:cs="Arial" w:hint="eastAsia"/>
                <w:color w:val="000000"/>
                <w:kern w:val="0"/>
                <w:szCs w:val="21"/>
              </w:rPr>
              <w:t>日起施行。</w:t>
            </w:r>
          </w:p>
          <w:p w:rsidR="000D094E" w:rsidRPr="000D094E" w:rsidRDefault="000D094E" w:rsidP="000D094E">
            <w:pPr>
              <w:widowControl/>
              <w:spacing w:before="100" w:beforeAutospacing="1" w:after="100" w:afterAutospacing="1" w:line="480" w:lineRule="auto"/>
              <w:jc w:val="right"/>
              <w:rPr>
                <w:rFonts w:ascii="ˎ̥" w:eastAsia="宋体" w:hAnsi="ˎ̥" w:cs="Arial"/>
                <w:color w:val="000000"/>
                <w:kern w:val="0"/>
                <w:szCs w:val="21"/>
              </w:rPr>
            </w:pPr>
            <w:r w:rsidRPr="000D094E">
              <w:rPr>
                <w:rFonts w:ascii="ˎ̥" w:eastAsia="宋体" w:hAnsi="ˎ̥" w:cs="Arial"/>
                <w:color w:val="000000"/>
                <w:kern w:val="0"/>
                <w:szCs w:val="21"/>
              </w:rPr>
              <w:t>局　长　　毕井泉</w:t>
            </w:r>
            <w:r w:rsidRPr="000D094E">
              <w:rPr>
                <w:rFonts w:ascii="ˎ̥" w:eastAsia="宋体" w:hAnsi="ˎ̥" w:cs="Arial"/>
                <w:color w:val="000000"/>
                <w:kern w:val="0"/>
                <w:sz w:val="18"/>
                <w:szCs w:val="18"/>
              </w:rPr>
              <w:br/>
            </w:r>
            <w:r w:rsidRPr="000D094E">
              <w:rPr>
                <w:rFonts w:ascii="ˎ̥" w:eastAsia="宋体" w:hAnsi="ˎ̥" w:cs="Arial"/>
                <w:color w:val="000000"/>
                <w:kern w:val="0"/>
                <w:szCs w:val="21"/>
              </w:rPr>
              <w:t>2015</w:t>
            </w:r>
            <w:r w:rsidRPr="000D094E">
              <w:rPr>
                <w:rFonts w:ascii="ˎ̥" w:eastAsia="宋体" w:hAnsi="ˎ̥" w:cs="Arial"/>
                <w:color w:val="000000"/>
                <w:kern w:val="0"/>
                <w:szCs w:val="21"/>
              </w:rPr>
              <w:t>年</w:t>
            </w:r>
            <w:r w:rsidRPr="000D094E">
              <w:rPr>
                <w:rFonts w:ascii="ˎ̥" w:eastAsia="宋体" w:hAnsi="ˎ̥" w:cs="Arial"/>
                <w:color w:val="000000"/>
                <w:kern w:val="0"/>
                <w:szCs w:val="21"/>
              </w:rPr>
              <w:t>7</w:t>
            </w:r>
            <w:r w:rsidRPr="000D094E">
              <w:rPr>
                <w:rFonts w:ascii="ˎ̥" w:eastAsia="宋体" w:hAnsi="ˎ̥" w:cs="Arial"/>
                <w:color w:val="000000"/>
                <w:kern w:val="0"/>
                <w:szCs w:val="21"/>
              </w:rPr>
              <w:t>月</w:t>
            </w:r>
            <w:r w:rsidRPr="000D094E">
              <w:rPr>
                <w:rFonts w:ascii="ˎ̥" w:eastAsia="宋体" w:hAnsi="ˎ̥" w:cs="Arial"/>
                <w:color w:val="000000"/>
                <w:kern w:val="0"/>
                <w:szCs w:val="21"/>
              </w:rPr>
              <w:t>14</w:t>
            </w:r>
            <w:r w:rsidRPr="000D094E">
              <w:rPr>
                <w:rFonts w:ascii="ˎ̥" w:eastAsia="宋体" w:hAnsi="ˎ̥" w:cs="Arial"/>
                <w:color w:val="000000"/>
                <w:kern w:val="0"/>
                <w:szCs w:val="21"/>
              </w:rPr>
              <w:t>日</w:t>
            </w:r>
            <w:r w:rsidRPr="000D094E">
              <w:rPr>
                <w:rFonts w:ascii="ˎ̥" w:eastAsia="宋体" w:hAnsi="ˎ̥" w:cs="Arial"/>
                <w:color w:val="000000"/>
                <w:kern w:val="0"/>
                <w:szCs w:val="21"/>
              </w:rPr>
              <w:t xml:space="preserve"> </w:t>
            </w:r>
          </w:p>
          <w:p w:rsidR="000D094E" w:rsidRPr="000D094E" w:rsidRDefault="000D094E" w:rsidP="000D094E">
            <w:pPr>
              <w:widowControl/>
              <w:spacing w:before="100" w:beforeAutospacing="1" w:after="100" w:afterAutospacing="1" w:line="480" w:lineRule="auto"/>
              <w:jc w:val="center"/>
              <w:rPr>
                <w:rFonts w:ascii="ˎ̥" w:eastAsia="宋体" w:hAnsi="ˎ̥" w:cs="Arial"/>
                <w:color w:val="000000"/>
                <w:kern w:val="0"/>
                <w:szCs w:val="21"/>
              </w:rPr>
            </w:pPr>
            <w:r w:rsidRPr="000D094E">
              <w:rPr>
                <w:rFonts w:ascii="ˎ̥" w:eastAsia="宋体" w:hAnsi="ˎ̥" w:cs="Arial"/>
                <w:color w:val="000000"/>
                <w:kern w:val="0"/>
                <w:sz w:val="18"/>
                <w:szCs w:val="18"/>
              </w:rPr>
              <w:br/>
            </w:r>
            <w:r w:rsidRPr="000D094E">
              <w:rPr>
                <w:rFonts w:ascii="ˎ̥" w:eastAsia="宋体" w:hAnsi="ˎ̥" w:cs="Arial"/>
                <w:b/>
                <w:bCs/>
                <w:color w:val="000000"/>
                <w:kern w:val="0"/>
                <w:szCs w:val="21"/>
              </w:rPr>
              <w:t>医疗器械分类规则</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第一条　为规范医疗器械分类，根据《医疗器械监督管理条例》，制定本规则。</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第二条　本规则用于指导制定医疗器械分类目录和确定新的医疗器械的管理类别。</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第三条　本规则有关用语的含义是：</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lastRenderedPageBreak/>
              <w:t xml:space="preserve">　　（一）预期目的</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指产品说明书、标签或者宣传资料载明的，使用医疗器械应当取得的作用。</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（二）无源医疗器械</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不依靠电能或者其他能源，但是可以通过由人体或者重力产生的能量，发挥其功能的医疗器械。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（三）有源医疗器械</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任何依靠电能或者其他能源，而不是直接由人体或者重力产生的能量，发挥其功能的医疗器械。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（四）侵入器械</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借助手术全部或者部分通过体表侵入人体，接触体内组织、血液循环系统、中枢神经系统等部位的医疗器械，包括介入手术中使用的器材、一次性使用无菌手术器械和暂时或短期留在人体内的器械等。本规则中的侵入器械不包括重复使用手术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（五）重复使用手术器械</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用于手术中进行切、割、钻、锯、抓、刮、钳、抽、夹等过程，不连接任何有源医疗器械，通过一定的处理可以重新使用的无源医疗器械。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（六）植入器械</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借助手术全部或者部分进入人体内或腔道（口）中，或者用于替代人体上皮表面或眼表面，并且在手术过程结束后留在人体内</w:t>
            </w:r>
            <w:r w:rsidRPr="000D094E">
              <w:rPr>
                <w:rFonts w:ascii="ˎ̥" w:eastAsia="宋体" w:hAnsi="ˎ̥" w:cs="Arial"/>
                <w:color w:val="000000"/>
                <w:kern w:val="0"/>
                <w:szCs w:val="21"/>
              </w:rPr>
              <w:t>30</w:t>
            </w:r>
            <w:r w:rsidRPr="000D094E">
              <w:rPr>
                <w:rFonts w:ascii="ˎ̥" w:eastAsia="宋体" w:hAnsi="ˎ̥" w:cs="Arial"/>
                <w:color w:val="000000"/>
                <w:kern w:val="0"/>
                <w:szCs w:val="21"/>
              </w:rPr>
              <w:t>日（含）以上或者被人体吸收的医疗器械。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lastRenderedPageBreak/>
              <w:t xml:space="preserve">　　（七）接触人体器械</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直接或间接接触患者或者能够进入患者体内的医疗器械。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（八）使用时限</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w:t>
            </w:r>
            <w:r w:rsidRPr="000D094E">
              <w:rPr>
                <w:rFonts w:ascii="ˎ̥" w:eastAsia="宋体" w:hAnsi="ˎ̥" w:cs="Arial"/>
                <w:color w:val="000000"/>
                <w:kern w:val="0"/>
                <w:szCs w:val="21"/>
              </w:rPr>
              <w:t>1.</w:t>
            </w:r>
            <w:r w:rsidRPr="000D094E">
              <w:rPr>
                <w:rFonts w:ascii="ˎ̥" w:eastAsia="宋体" w:hAnsi="ˎ̥" w:cs="Arial"/>
                <w:color w:val="000000"/>
                <w:kern w:val="0"/>
                <w:szCs w:val="21"/>
              </w:rPr>
              <w:t>连续使用时间：医疗器械按预期目的、不间断的实际作用时间；</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w:t>
            </w:r>
            <w:r w:rsidRPr="000D094E">
              <w:rPr>
                <w:rFonts w:ascii="ˎ̥" w:eastAsia="宋体" w:hAnsi="ˎ̥" w:cs="Arial"/>
                <w:color w:val="000000"/>
                <w:kern w:val="0"/>
                <w:szCs w:val="21"/>
              </w:rPr>
              <w:t>2.</w:t>
            </w:r>
            <w:r w:rsidRPr="000D094E">
              <w:rPr>
                <w:rFonts w:ascii="ˎ̥" w:eastAsia="宋体" w:hAnsi="ˎ̥" w:cs="Arial"/>
                <w:color w:val="000000"/>
                <w:kern w:val="0"/>
                <w:szCs w:val="21"/>
              </w:rPr>
              <w:t>暂时：医疗器械预期的连续使用时间在</w:t>
            </w:r>
            <w:r w:rsidRPr="000D094E">
              <w:rPr>
                <w:rFonts w:ascii="ˎ̥" w:eastAsia="宋体" w:hAnsi="ˎ̥" w:cs="Arial"/>
                <w:color w:val="000000"/>
                <w:kern w:val="0"/>
                <w:szCs w:val="21"/>
              </w:rPr>
              <w:t>24</w:t>
            </w:r>
            <w:r w:rsidRPr="000D094E">
              <w:rPr>
                <w:rFonts w:ascii="ˎ̥" w:eastAsia="宋体" w:hAnsi="ˎ̥" w:cs="Arial"/>
                <w:color w:val="000000"/>
                <w:kern w:val="0"/>
                <w:szCs w:val="21"/>
              </w:rPr>
              <w:t>小时以内；</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w:t>
            </w:r>
            <w:r w:rsidRPr="000D094E">
              <w:rPr>
                <w:rFonts w:ascii="ˎ̥" w:eastAsia="宋体" w:hAnsi="ˎ̥" w:cs="Arial"/>
                <w:color w:val="000000"/>
                <w:kern w:val="0"/>
                <w:szCs w:val="21"/>
              </w:rPr>
              <w:t>3.</w:t>
            </w:r>
            <w:r w:rsidRPr="000D094E">
              <w:rPr>
                <w:rFonts w:ascii="ˎ̥" w:eastAsia="宋体" w:hAnsi="ˎ̥" w:cs="Arial"/>
                <w:color w:val="000000"/>
                <w:kern w:val="0"/>
                <w:szCs w:val="21"/>
              </w:rPr>
              <w:t>短期：医疗器械预期的连续使用时间在</w:t>
            </w:r>
            <w:r w:rsidRPr="000D094E">
              <w:rPr>
                <w:rFonts w:ascii="ˎ̥" w:eastAsia="宋体" w:hAnsi="ˎ̥" w:cs="Arial"/>
                <w:color w:val="000000"/>
                <w:kern w:val="0"/>
                <w:szCs w:val="21"/>
              </w:rPr>
              <w:t>24</w:t>
            </w:r>
            <w:r w:rsidRPr="000D094E">
              <w:rPr>
                <w:rFonts w:ascii="ˎ̥" w:eastAsia="宋体" w:hAnsi="ˎ̥" w:cs="Arial"/>
                <w:color w:val="000000"/>
                <w:kern w:val="0"/>
                <w:szCs w:val="21"/>
              </w:rPr>
              <w:t>小时（含）以上、</w:t>
            </w:r>
            <w:r w:rsidRPr="000D094E">
              <w:rPr>
                <w:rFonts w:ascii="ˎ̥" w:eastAsia="宋体" w:hAnsi="ˎ̥" w:cs="Arial"/>
                <w:color w:val="000000"/>
                <w:kern w:val="0"/>
                <w:szCs w:val="21"/>
              </w:rPr>
              <w:t>30</w:t>
            </w:r>
            <w:r w:rsidRPr="000D094E">
              <w:rPr>
                <w:rFonts w:ascii="ˎ̥" w:eastAsia="宋体" w:hAnsi="ˎ̥" w:cs="Arial"/>
                <w:color w:val="000000"/>
                <w:kern w:val="0"/>
                <w:szCs w:val="21"/>
              </w:rPr>
              <w:t>日以内；</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w:t>
            </w:r>
            <w:r w:rsidRPr="000D094E">
              <w:rPr>
                <w:rFonts w:ascii="ˎ̥" w:eastAsia="宋体" w:hAnsi="ˎ̥" w:cs="Arial"/>
                <w:color w:val="000000"/>
                <w:kern w:val="0"/>
                <w:szCs w:val="21"/>
              </w:rPr>
              <w:t>4.</w:t>
            </w:r>
            <w:r w:rsidRPr="000D094E">
              <w:rPr>
                <w:rFonts w:ascii="ˎ̥" w:eastAsia="宋体" w:hAnsi="ˎ̥" w:cs="Arial"/>
                <w:color w:val="000000"/>
                <w:kern w:val="0"/>
                <w:szCs w:val="21"/>
              </w:rPr>
              <w:t>长期：医疗器械预期的连续使用时间在</w:t>
            </w:r>
            <w:r w:rsidRPr="000D094E">
              <w:rPr>
                <w:rFonts w:ascii="ˎ̥" w:eastAsia="宋体" w:hAnsi="ˎ̥" w:cs="Arial"/>
                <w:color w:val="000000"/>
                <w:kern w:val="0"/>
                <w:szCs w:val="21"/>
              </w:rPr>
              <w:t>30</w:t>
            </w:r>
            <w:r w:rsidRPr="000D094E">
              <w:rPr>
                <w:rFonts w:ascii="ˎ̥" w:eastAsia="宋体" w:hAnsi="ˎ̥" w:cs="Arial"/>
                <w:color w:val="000000"/>
                <w:kern w:val="0"/>
                <w:szCs w:val="21"/>
              </w:rPr>
              <w:t>日（含）以上。</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（九）皮肤</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未受损皮肤表面。</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（十）腔道（口）</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口腔、鼻腔、食道、外耳道、直肠、阴道、尿道等人体自然腔道和永久性人造开口。</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（十一）创伤</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各种致伤因素作用于人体所造成的组织结构完整性破坏或者功能障碍。</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（十二）组织</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人体体内组织，包括骨、牙髓或者牙本质，不包括血液循环系统和中枢神经系统。</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（十三）血液循环系统</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血管（毛细血管除外）和心脏。</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lastRenderedPageBreak/>
              <w:t xml:space="preserve">　　（十四）中枢神经系统</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脑和脊髓。</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（十五）独立软件</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具有一个或者多个医疗目的，无需医疗器械硬件即可完成自身预期目的，运行于通用计算平台的软件。</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（十六）具有计量测试功能的医疗器械</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用于测定生理、病理、解剖参数，或者定量测定进出人体的能量或物质的医疗器械，其测量结果需要精确定量，并且该结果的准确性会对患者的健康和安全产生明显影响。</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（十七）慢性创面</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各种原因形成的长期不愈合创面，如静脉性溃疡、动脉性溃疡、糖尿病性溃疡、创伤性溃疡、压力性溃疡等。</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第四条　医疗器械按照风险程度由低到高，管理类别依次分为第一类、第二类和第三类。</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医疗器械风险程度，应当根据医疗器械的预期目的，通过结构特征、使用形式、使用状态、是否接触人体等因素综合判定。</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第五条　依据影响医疗器械风险程度的因素，医疗器械可以分为以下几种情形：</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（一）根据结构特征的不同，分为无源医疗器械和有源医疗器械。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（二）根据是否接触人体，分为接触人体器械和非接触人体器械。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lastRenderedPageBreak/>
              <w:t xml:space="preserve">　　（三）根据不同的结构特征和是否接触人体，医疗器械的使用形式包括：</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无源接触人体器械：液体输送器械、改变血液体液器械、医用敷料、侵入器械、重复使用手术器械、植入器械、避孕和计划生育器械、其他无源接触人体器械。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无源非接触人体器械：护理器械、医疗器械清洗消毒器械、其他无源非接触人体器械。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有源接触人体器械：能量治疗器械、诊断监护器械、液体输送器械、电离辐射器械、植入器械、其他有源接触人体器械。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有源非接触人体器械：临床检验仪器设备、独立软件、医疗器械消毒灭菌设备、其他有源非接触人体器械。</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（四）根据不同的结构特征、是否接触人体以及使用形式，医疗器械的使用状态或者其产生的影响包括以下情形：</w:t>
            </w:r>
            <w:r w:rsidRPr="000D094E">
              <w:rPr>
                <w:rFonts w:ascii="ˎ̥" w:eastAsia="宋体" w:hAnsi="ˎ̥" w:cs="Arial"/>
                <w:color w:val="000000"/>
                <w:kern w:val="0"/>
                <w:sz w:val="18"/>
                <w:szCs w:val="18"/>
              </w:rPr>
              <w:br/>
            </w:r>
            <w:r w:rsidRPr="000D094E">
              <w:rPr>
                <w:rFonts w:ascii="ˎ̥" w:eastAsia="宋体" w:hAnsi="ˎ̥" w:cs="Arial"/>
                <w:color w:val="000000"/>
                <w:kern w:val="0"/>
                <w:szCs w:val="21"/>
              </w:rPr>
              <w:t xml:space="preserve">　　无源接触人体器械：根据使用时限分为暂时使用、短期使用、长期使用；接触人体的部位分为皮肤或腔道（口）、创伤或组织、血液循环系统或中枢神经系统。</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无源非接触人体器械：根据对医疗效果的影响程度分为基本不影响、轻微影响、重要影响。</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有源接触人体器械：根据失控后可能造成的损伤程度分为轻微损伤、中度损伤、严重损伤。</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lastRenderedPageBreak/>
              <w:t xml:space="preserve">　　有源非接触人体器械：根据对医疗效果的影响程度分为基本不影响、轻微影响、重要影响。</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第六条　医疗器械的分类应当根据医疗器械分类判定表（见附件）进行分类判定。有以下情形的，还应当结合下述原则进行分类：</w:t>
            </w:r>
            <w:r w:rsidRPr="000D094E">
              <w:rPr>
                <w:rFonts w:ascii="ˎ̥" w:eastAsia="宋体" w:hAnsi="ˎ̥" w:cs="Arial"/>
                <w:color w:val="000000"/>
                <w:kern w:val="0"/>
                <w:szCs w:val="21"/>
              </w:rPr>
              <w:t xml:space="preserve"> </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（一）如果同一医疗器械适用两个或者两个以上的分类，应当采取其中风险程度最高的分类；由多个医疗器械组成的医疗器械包，其分类应当与包内风险程度最高的医疗器械一致。</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（二）可作为附件的医疗器械，其分类应当综合考虑该附件对配套主体医疗器械安全性、有效性的影响；如果附件对配套主体医疗器械有重要影响，附件的分类应不低于配套主体医疗器械的分类。</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（三）监控或者影响医疗器械主要功能的医疗器械，其分类应当与被监控、影响的医疗器械的分类一致。</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（四）以医疗器械作用为主的药械组合产品，按照第三类医疗器械管理。</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（五）可被人体吸收的医疗器械，按照第三类医疗器械管理。</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（六）对医疗效果有重要影响的有源接触人体器械，按照第三类医疗器械管理。</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lastRenderedPageBreak/>
              <w:t xml:space="preserve">　　（七）医用敷料如果有以下情形，按照第三类医疗器械管理，包括：预期具有防组织或器官粘连功能，作为人工皮肤，接触真皮深层或其以下组织受损的创面，用于慢性创面，或者可被人体全部或部分吸收的。</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（八）以无菌形式提供的医疗器械，其分类应不低于第二类。</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九）通过牵拉、撑开、扭转、压握、弯曲等作用方式，主动施加持续作用力于人体、可动态调整肢体固定位置的矫形器械（不包括仅具有固定、支撑作用的医疗器械，也不包括配合外科手术中进行临时矫形的医疗器械或者外科手术后或其他治疗中进行四肢矫形的医疗器械），其分类应不低于第二类。</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（十）具有计量测试功能的医疗器械，其分类应不低于第二类。</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（十一）如果医疗器械的预期目的是明确用于某种疾病的治疗，其分类应不低于第二类。</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（十二）用于在内窥镜下完成夹取、切割组织或者取石等手术操作的无源重复使用手术器械，按照第二类医疗器械管理。</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第七条　体外诊断试剂按照有关规定进行分类。</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第八条　国家食品药品监督管理总局根据医疗器械生产、经营、使用情况，及时对医疗器械的风险变化进行分析、评价，对医疗器械分类目录进行调整。</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lastRenderedPageBreak/>
              <w:t xml:space="preserve">　　第九条　国家食品药品监督管理总局可以组织医疗器械分类专家委员会制定、调整医疗器械分类目录。</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第十条　本规则自</w:t>
            </w:r>
            <w:r w:rsidRPr="000D094E">
              <w:rPr>
                <w:rFonts w:ascii="ˎ̥" w:eastAsia="宋体" w:hAnsi="ˎ̥" w:cs="Arial"/>
                <w:color w:val="000000"/>
                <w:kern w:val="0"/>
                <w:szCs w:val="21"/>
              </w:rPr>
              <w:t>2016</w:t>
            </w:r>
            <w:r w:rsidRPr="000D094E">
              <w:rPr>
                <w:rFonts w:ascii="ˎ̥" w:eastAsia="宋体" w:hAnsi="ˎ̥" w:cs="Arial"/>
                <w:color w:val="000000"/>
                <w:kern w:val="0"/>
                <w:szCs w:val="21"/>
              </w:rPr>
              <w:t>年</w:t>
            </w:r>
            <w:r w:rsidRPr="000D094E">
              <w:rPr>
                <w:rFonts w:ascii="ˎ̥" w:eastAsia="宋体" w:hAnsi="ˎ̥" w:cs="Arial"/>
                <w:color w:val="000000"/>
                <w:kern w:val="0"/>
                <w:szCs w:val="21"/>
              </w:rPr>
              <w:t>1</w:t>
            </w:r>
            <w:r w:rsidRPr="000D094E">
              <w:rPr>
                <w:rFonts w:ascii="ˎ̥" w:eastAsia="宋体" w:hAnsi="ˎ̥" w:cs="Arial"/>
                <w:color w:val="000000"/>
                <w:kern w:val="0"/>
                <w:szCs w:val="21"/>
              </w:rPr>
              <w:t>月</w:t>
            </w:r>
            <w:r w:rsidRPr="000D094E">
              <w:rPr>
                <w:rFonts w:ascii="ˎ̥" w:eastAsia="宋体" w:hAnsi="ˎ̥" w:cs="Arial"/>
                <w:color w:val="000000"/>
                <w:kern w:val="0"/>
                <w:szCs w:val="21"/>
              </w:rPr>
              <w:t>1</w:t>
            </w:r>
            <w:r w:rsidRPr="000D094E">
              <w:rPr>
                <w:rFonts w:ascii="ˎ̥" w:eastAsia="宋体" w:hAnsi="ˎ̥" w:cs="Arial"/>
                <w:color w:val="000000"/>
                <w:kern w:val="0"/>
                <w:szCs w:val="21"/>
              </w:rPr>
              <w:t>日起施行。</w:t>
            </w:r>
            <w:r w:rsidRPr="000D094E">
              <w:rPr>
                <w:rFonts w:ascii="ˎ̥" w:eastAsia="宋体" w:hAnsi="ˎ̥" w:cs="Arial"/>
                <w:color w:val="000000"/>
                <w:kern w:val="0"/>
                <w:szCs w:val="21"/>
              </w:rPr>
              <w:t>2000</w:t>
            </w:r>
            <w:r w:rsidRPr="000D094E">
              <w:rPr>
                <w:rFonts w:ascii="ˎ̥" w:eastAsia="宋体" w:hAnsi="ˎ̥" w:cs="Arial"/>
                <w:color w:val="000000"/>
                <w:kern w:val="0"/>
                <w:szCs w:val="21"/>
              </w:rPr>
              <w:t>年</w:t>
            </w:r>
            <w:r w:rsidRPr="000D094E">
              <w:rPr>
                <w:rFonts w:ascii="ˎ̥" w:eastAsia="宋体" w:hAnsi="ˎ̥" w:cs="Arial"/>
                <w:color w:val="000000"/>
                <w:kern w:val="0"/>
                <w:szCs w:val="21"/>
              </w:rPr>
              <w:t>4</w:t>
            </w:r>
            <w:r w:rsidRPr="000D094E">
              <w:rPr>
                <w:rFonts w:ascii="ˎ̥" w:eastAsia="宋体" w:hAnsi="ˎ̥" w:cs="Arial"/>
                <w:color w:val="000000"/>
                <w:kern w:val="0"/>
                <w:szCs w:val="21"/>
              </w:rPr>
              <w:t>月</w:t>
            </w:r>
            <w:r w:rsidRPr="000D094E">
              <w:rPr>
                <w:rFonts w:ascii="ˎ̥" w:eastAsia="宋体" w:hAnsi="ˎ̥" w:cs="Arial"/>
                <w:color w:val="000000"/>
                <w:kern w:val="0"/>
                <w:szCs w:val="21"/>
              </w:rPr>
              <w:t>5</w:t>
            </w:r>
            <w:r w:rsidRPr="000D094E">
              <w:rPr>
                <w:rFonts w:ascii="ˎ̥" w:eastAsia="宋体" w:hAnsi="ˎ̥" w:cs="Arial"/>
                <w:color w:val="000000"/>
                <w:kern w:val="0"/>
                <w:szCs w:val="21"/>
              </w:rPr>
              <w:t>日公布的《医疗器械分类规则》（原国家药品监督管理局令第</w:t>
            </w:r>
            <w:r w:rsidRPr="000D094E">
              <w:rPr>
                <w:rFonts w:ascii="ˎ̥" w:eastAsia="宋体" w:hAnsi="ˎ̥" w:cs="Arial"/>
                <w:color w:val="000000"/>
                <w:kern w:val="0"/>
                <w:szCs w:val="21"/>
              </w:rPr>
              <w:t>15</w:t>
            </w:r>
            <w:r w:rsidRPr="000D094E">
              <w:rPr>
                <w:rFonts w:ascii="ˎ̥" w:eastAsia="宋体" w:hAnsi="ˎ̥" w:cs="Arial"/>
                <w:color w:val="000000"/>
                <w:kern w:val="0"/>
                <w:szCs w:val="21"/>
              </w:rPr>
              <w:t>号）同时废止。</w:t>
            </w:r>
          </w:p>
          <w:p w:rsidR="000D094E" w:rsidRPr="000D094E" w:rsidRDefault="000D094E" w:rsidP="000D094E">
            <w:pPr>
              <w:widowControl/>
              <w:spacing w:before="100" w:beforeAutospacing="1" w:after="100" w:afterAutospacing="1" w:line="480" w:lineRule="auto"/>
              <w:jc w:val="left"/>
              <w:rPr>
                <w:rFonts w:ascii="ˎ̥" w:eastAsia="宋体" w:hAnsi="ˎ̥" w:cs="Arial"/>
                <w:color w:val="000000"/>
                <w:kern w:val="0"/>
                <w:szCs w:val="21"/>
              </w:rPr>
            </w:pPr>
            <w:r w:rsidRPr="000D094E">
              <w:rPr>
                <w:rFonts w:ascii="ˎ̥" w:eastAsia="宋体" w:hAnsi="ˎ̥" w:cs="Arial"/>
                <w:color w:val="000000"/>
                <w:kern w:val="0"/>
                <w:szCs w:val="21"/>
              </w:rPr>
              <w:t xml:space="preserve">　　附件：医疗器械分类判定表</w:t>
            </w:r>
          </w:p>
        </w:tc>
      </w:tr>
    </w:tbl>
    <w:p w:rsidR="00423D39" w:rsidRPr="000D094E" w:rsidRDefault="00423D39"/>
    <w:sectPr w:rsidR="00423D39" w:rsidRPr="000D09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4E"/>
    <w:rsid w:val="00000286"/>
    <w:rsid w:val="00000388"/>
    <w:rsid w:val="0000041F"/>
    <w:rsid w:val="0000068B"/>
    <w:rsid w:val="000006B6"/>
    <w:rsid w:val="00000ECA"/>
    <w:rsid w:val="000035A1"/>
    <w:rsid w:val="0000360B"/>
    <w:rsid w:val="00003E18"/>
    <w:rsid w:val="000051A5"/>
    <w:rsid w:val="000056C9"/>
    <w:rsid w:val="00005EE1"/>
    <w:rsid w:val="00006D03"/>
    <w:rsid w:val="00006E9C"/>
    <w:rsid w:val="0001011A"/>
    <w:rsid w:val="00010CAE"/>
    <w:rsid w:val="0001107F"/>
    <w:rsid w:val="00011562"/>
    <w:rsid w:val="0001259C"/>
    <w:rsid w:val="000127AA"/>
    <w:rsid w:val="0001525E"/>
    <w:rsid w:val="00020A78"/>
    <w:rsid w:val="00021041"/>
    <w:rsid w:val="00021677"/>
    <w:rsid w:val="00021690"/>
    <w:rsid w:val="0002359B"/>
    <w:rsid w:val="00023788"/>
    <w:rsid w:val="00023869"/>
    <w:rsid w:val="0002490B"/>
    <w:rsid w:val="000265FE"/>
    <w:rsid w:val="00026AFC"/>
    <w:rsid w:val="000271C7"/>
    <w:rsid w:val="000309BA"/>
    <w:rsid w:val="00030A49"/>
    <w:rsid w:val="000317B3"/>
    <w:rsid w:val="000319D3"/>
    <w:rsid w:val="00031A47"/>
    <w:rsid w:val="00033839"/>
    <w:rsid w:val="00033964"/>
    <w:rsid w:val="000343F2"/>
    <w:rsid w:val="00034A27"/>
    <w:rsid w:val="0003616E"/>
    <w:rsid w:val="000366E4"/>
    <w:rsid w:val="00040009"/>
    <w:rsid w:val="00040022"/>
    <w:rsid w:val="00040072"/>
    <w:rsid w:val="00040A49"/>
    <w:rsid w:val="00041A8C"/>
    <w:rsid w:val="00041B65"/>
    <w:rsid w:val="00042927"/>
    <w:rsid w:val="00042C5B"/>
    <w:rsid w:val="00043410"/>
    <w:rsid w:val="000440E7"/>
    <w:rsid w:val="00044EAD"/>
    <w:rsid w:val="00045460"/>
    <w:rsid w:val="00045E6A"/>
    <w:rsid w:val="000466CB"/>
    <w:rsid w:val="00047165"/>
    <w:rsid w:val="000476AE"/>
    <w:rsid w:val="00050B90"/>
    <w:rsid w:val="0005257A"/>
    <w:rsid w:val="00052DD2"/>
    <w:rsid w:val="00052DF1"/>
    <w:rsid w:val="00053919"/>
    <w:rsid w:val="00054689"/>
    <w:rsid w:val="00055873"/>
    <w:rsid w:val="00056E62"/>
    <w:rsid w:val="0006014F"/>
    <w:rsid w:val="00061188"/>
    <w:rsid w:val="00061932"/>
    <w:rsid w:val="0006261A"/>
    <w:rsid w:val="0006425C"/>
    <w:rsid w:val="00064434"/>
    <w:rsid w:val="000648B2"/>
    <w:rsid w:val="00064C40"/>
    <w:rsid w:val="000674A3"/>
    <w:rsid w:val="00067B1F"/>
    <w:rsid w:val="00070975"/>
    <w:rsid w:val="00071B5E"/>
    <w:rsid w:val="00071DB6"/>
    <w:rsid w:val="000724C6"/>
    <w:rsid w:val="00073E7D"/>
    <w:rsid w:val="00074FA5"/>
    <w:rsid w:val="00075129"/>
    <w:rsid w:val="000751DF"/>
    <w:rsid w:val="00077FD9"/>
    <w:rsid w:val="00081CD1"/>
    <w:rsid w:val="00081E28"/>
    <w:rsid w:val="000826D5"/>
    <w:rsid w:val="000833E1"/>
    <w:rsid w:val="00085475"/>
    <w:rsid w:val="00086568"/>
    <w:rsid w:val="00086950"/>
    <w:rsid w:val="00087C83"/>
    <w:rsid w:val="00090787"/>
    <w:rsid w:val="00090FC9"/>
    <w:rsid w:val="00093656"/>
    <w:rsid w:val="00094B62"/>
    <w:rsid w:val="00094EB4"/>
    <w:rsid w:val="000950BD"/>
    <w:rsid w:val="000A0876"/>
    <w:rsid w:val="000A08FA"/>
    <w:rsid w:val="000A148B"/>
    <w:rsid w:val="000A1656"/>
    <w:rsid w:val="000A1819"/>
    <w:rsid w:val="000A2450"/>
    <w:rsid w:val="000A2D78"/>
    <w:rsid w:val="000A2E6A"/>
    <w:rsid w:val="000A3013"/>
    <w:rsid w:val="000A3578"/>
    <w:rsid w:val="000A40D5"/>
    <w:rsid w:val="000A571F"/>
    <w:rsid w:val="000A61B1"/>
    <w:rsid w:val="000A69B9"/>
    <w:rsid w:val="000A6E91"/>
    <w:rsid w:val="000B15E9"/>
    <w:rsid w:val="000B27D1"/>
    <w:rsid w:val="000B292B"/>
    <w:rsid w:val="000B5571"/>
    <w:rsid w:val="000B5B78"/>
    <w:rsid w:val="000B6C86"/>
    <w:rsid w:val="000B708D"/>
    <w:rsid w:val="000B796D"/>
    <w:rsid w:val="000C0095"/>
    <w:rsid w:val="000C078E"/>
    <w:rsid w:val="000C07D0"/>
    <w:rsid w:val="000C1323"/>
    <w:rsid w:val="000C4456"/>
    <w:rsid w:val="000C46CC"/>
    <w:rsid w:val="000C46E3"/>
    <w:rsid w:val="000C583A"/>
    <w:rsid w:val="000C66E9"/>
    <w:rsid w:val="000C6974"/>
    <w:rsid w:val="000D021F"/>
    <w:rsid w:val="000D094E"/>
    <w:rsid w:val="000D1E4F"/>
    <w:rsid w:val="000D301E"/>
    <w:rsid w:val="000D30AE"/>
    <w:rsid w:val="000D3251"/>
    <w:rsid w:val="000D32A4"/>
    <w:rsid w:val="000D41E7"/>
    <w:rsid w:val="000D4BA6"/>
    <w:rsid w:val="000D55E4"/>
    <w:rsid w:val="000D5671"/>
    <w:rsid w:val="000D5FE3"/>
    <w:rsid w:val="000D789A"/>
    <w:rsid w:val="000E0344"/>
    <w:rsid w:val="000E08EF"/>
    <w:rsid w:val="000E0C30"/>
    <w:rsid w:val="000E0EBB"/>
    <w:rsid w:val="000E1371"/>
    <w:rsid w:val="000E1C9F"/>
    <w:rsid w:val="000E2506"/>
    <w:rsid w:val="000E291F"/>
    <w:rsid w:val="000E3CA5"/>
    <w:rsid w:val="000E3D34"/>
    <w:rsid w:val="000E590D"/>
    <w:rsid w:val="000E5F1F"/>
    <w:rsid w:val="000E6961"/>
    <w:rsid w:val="000E717C"/>
    <w:rsid w:val="000E7841"/>
    <w:rsid w:val="000E7A69"/>
    <w:rsid w:val="000F01C1"/>
    <w:rsid w:val="000F1061"/>
    <w:rsid w:val="000F1F26"/>
    <w:rsid w:val="000F2284"/>
    <w:rsid w:val="000F3921"/>
    <w:rsid w:val="000F4A07"/>
    <w:rsid w:val="000F4B23"/>
    <w:rsid w:val="000F621C"/>
    <w:rsid w:val="000F7309"/>
    <w:rsid w:val="000F7AE0"/>
    <w:rsid w:val="0010173E"/>
    <w:rsid w:val="0010235C"/>
    <w:rsid w:val="00102529"/>
    <w:rsid w:val="0010404C"/>
    <w:rsid w:val="00104528"/>
    <w:rsid w:val="0010462F"/>
    <w:rsid w:val="00104F5C"/>
    <w:rsid w:val="001052E6"/>
    <w:rsid w:val="001056A1"/>
    <w:rsid w:val="00105A9D"/>
    <w:rsid w:val="001062A2"/>
    <w:rsid w:val="00107A7D"/>
    <w:rsid w:val="001105E2"/>
    <w:rsid w:val="001135D4"/>
    <w:rsid w:val="00113B51"/>
    <w:rsid w:val="0011505F"/>
    <w:rsid w:val="00116BEF"/>
    <w:rsid w:val="001174B2"/>
    <w:rsid w:val="001176F3"/>
    <w:rsid w:val="00117B9A"/>
    <w:rsid w:val="00117DE0"/>
    <w:rsid w:val="001215FF"/>
    <w:rsid w:val="001217C2"/>
    <w:rsid w:val="00121D53"/>
    <w:rsid w:val="00123336"/>
    <w:rsid w:val="00125EC7"/>
    <w:rsid w:val="001304B5"/>
    <w:rsid w:val="001306AD"/>
    <w:rsid w:val="0013203D"/>
    <w:rsid w:val="00132890"/>
    <w:rsid w:val="0013391C"/>
    <w:rsid w:val="00133BB1"/>
    <w:rsid w:val="001352E6"/>
    <w:rsid w:val="00137E87"/>
    <w:rsid w:val="0014489B"/>
    <w:rsid w:val="001452BD"/>
    <w:rsid w:val="001462AC"/>
    <w:rsid w:val="0014670C"/>
    <w:rsid w:val="001478B1"/>
    <w:rsid w:val="00147F75"/>
    <w:rsid w:val="001503BD"/>
    <w:rsid w:val="00151A9D"/>
    <w:rsid w:val="00151C0F"/>
    <w:rsid w:val="00152088"/>
    <w:rsid w:val="001534BA"/>
    <w:rsid w:val="00153E34"/>
    <w:rsid w:val="001552DC"/>
    <w:rsid w:val="00156A47"/>
    <w:rsid w:val="001573C6"/>
    <w:rsid w:val="00157779"/>
    <w:rsid w:val="00161474"/>
    <w:rsid w:val="001619D5"/>
    <w:rsid w:val="001622F1"/>
    <w:rsid w:val="0016270E"/>
    <w:rsid w:val="00162962"/>
    <w:rsid w:val="00163969"/>
    <w:rsid w:val="00165491"/>
    <w:rsid w:val="00166E6E"/>
    <w:rsid w:val="00167259"/>
    <w:rsid w:val="00167860"/>
    <w:rsid w:val="00167B76"/>
    <w:rsid w:val="00171397"/>
    <w:rsid w:val="0017158E"/>
    <w:rsid w:val="00172439"/>
    <w:rsid w:val="00176711"/>
    <w:rsid w:val="0017784B"/>
    <w:rsid w:val="001803F2"/>
    <w:rsid w:val="00181983"/>
    <w:rsid w:val="001825E4"/>
    <w:rsid w:val="001833D7"/>
    <w:rsid w:val="001834DC"/>
    <w:rsid w:val="0018394C"/>
    <w:rsid w:val="00184D2E"/>
    <w:rsid w:val="00185606"/>
    <w:rsid w:val="00186411"/>
    <w:rsid w:val="00187901"/>
    <w:rsid w:val="001914AB"/>
    <w:rsid w:val="00192AB0"/>
    <w:rsid w:val="00193FBF"/>
    <w:rsid w:val="00194CA3"/>
    <w:rsid w:val="0019662C"/>
    <w:rsid w:val="0019762F"/>
    <w:rsid w:val="00197D01"/>
    <w:rsid w:val="001A0054"/>
    <w:rsid w:val="001A1956"/>
    <w:rsid w:val="001A22D1"/>
    <w:rsid w:val="001A2D4F"/>
    <w:rsid w:val="001A2FF1"/>
    <w:rsid w:val="001A3057"/>
    <w:rsid w:val="001A55D9"/>
    <w:rsid w:val="001A64B6"/>
    <w:rsid w:val="001A77D2"/>
    <w:rsid w:val="001B1145"/>
    <w:rsid w:val="001B141E"/>
    <w:rsid w:val="001B15EC"/>
    <w:rsid w:val="001B2D84"/>
    <w:rsid w:val="001B341D"/>
    <w:rsid w:val="001B36C8"/>
    <w:rsid w:val="001B3A09"/>
    <w:rsid w:val="001B3B94"/>
    <w:rsid w:val="001B59A1"/>
    <w:rsid w:val="001B5C1C"/>
    <w:rsid w:val="001B60ED"/>
    <w:rsid w:val="001B6591"/>
    <w:rsid w:val="001B698E"/>
    <w:rsid w:val="001B6EE2"/>
    <w:rsid w:val="001B78B5"/>
    <w:rsid w:val="001C0265"/>
    <w:rsid w:val="001C0383"/>
    <w:rsid w:val="001C03B0"/>
    <w:rsid w:val="001C158E"/>
    <w:rsid w:val="001C18A5"/>
    <w:rsid w:val="001C1D8E"/>
    <w:rsid w:val="001C44A2"/>
    <w:rsid w:val="001C4C2C"/>
    <w:rsid w:val="001C61EA"/>
    <w:rsid w:val="001C6553"/>
    <w:rsid w:val="001C69B2"/>
    <w:rsid w:val="001C6B5B"/>
    <w:rsid w:val="001C759F"/>
    <w:rsid w:val="001D016B"/>
    <w:rsid w:val="001D0BB3"/>
    <w:rsid w:val="001D0BEF"/>
    <w:rsid w:val="001D0E4A"/>
    <w:rsid w:val="001D11B2"/>
    <w:rsid w:val="001D18A2"/>
    <w:rsid w:val="001D2B79"/>
    <w:rsid w:val="001D2FB6"/>
    <w:rsid w:val="001D3182"/>
    <w:rsid w:val="001D394B"/>
    <w:rsid w:val="001D3BB7"/>
    <w:rsid w:val="001D4C4C"/>
    <w:rsid w:val="001D5213"/>
    <w:rsid w:val="001D53CC"/>
    <w:rsid w:val="001D58FE"/>
    <w:rsid w:val="001D5923"/>
    <w:rsid w:val="001D6310"/>
    <w:rsid w:val="001D6B4B"/>
    <w:rsid w:val="001E05CF"/>
    <w:rsid w:val="001E195C"/>
    <w:rsid w:val="001E1C42"/>
    <w:rsid w:val="001E23EF"/>
    <w:rsid w:val="001E47D7"/>
    <w:rsid w:val="001E4A8B"/>
    <w:rsid w:val="001E7909"/>
    <w:rsid w:val="001F0301"/>
    <w:rsid w:val="001F0F0D"/>
    <w:rsid w:val="001F11DB"/>
    <w:rsid w:val="001F2343"/>
    <w:rsid w:val="001F2805"/>
    <w:rsid w:val="001F2A03"/>
    <w:rsid w:val="001F33BD"/>
    <w:rsid w:val="001F41FF"/>
    <w:rsid w:val="001F4924"/>
    <w:rsid w:val="001F5E18"/>
    <w:rsid w:val="001F73A3"/>
    <w:rsid w:val="001F79FD"/>
    <w:rsid w:val="001F7D19"/>
    <w:rsid w:val="0020099A"/>
    <w:rsid w:val="002020CA"/>
    <w:rsid w:val="0020363E"/>
    <w:rsid w:val="00204E32"/>
    <w:rsid w:val="00205D9E"/>
    <w:rsid w:val="00207C47"/>
    <w:rsid w:val="00210894"/>
    <w:rsid w:val="002112CE"/>
    <w:rsid w:val="00211772"/>
    <w:rsid w:val="00213DD6"/>
    <w:rsid w:val="00215724"/>
    <w:rsid w:val="002166A9"/>
    <w:rsid w:val="00221530"/>
    <w:rsid w:val="002216F6"/>
    <w:rsid w:val="00222182"/>
    <w:rsid w:val="0022347E"/>
    <w:rsid w:val="00223485"/>
    <w:rsid w:val="0022487F"/>
    <w:rsid w:val="002249B6"/>
    <w:rsid w:val="002254E6"/>
    <w:rsid w:val="00225867"/>
    <w:rsid w:val="00227413"/>
    <w:rsid w:val="0023094B"/>
    <w:rsid w:val="00230AEC"/>
    <w:rsid w:val="00230B4D"/>
    <w:rsid w:val="002315F9"/>
    <w:rsid w:val="00231B83"/>
    <w:rsid w:val="00231DF7"/>
    <w:rsid w:val="002323F4"/>
    <w:rsid w:val="002332B1"/>
    <w:rsid w:val="0023483F"/>
    <w:rsid w:val="00236093"/>
    <w:rsid w:val="002360F5"/>
    <w:rsid w:val="002368CF"/>
    <w:rsid w:val="00241081"/>
    <w:rsid w:val="00242F30"/>
    <w:rsid w:val="00243027"/>
    <w:rsid w:val="0024343F"/>
    <w:rsid w:val="00243B6F"/>
    <w:rsid w:val="002447BC"/>
    <w:rsid w:val="00244C3E"/>
    <w:rsid w:val="002452D3"/>
    <w:rsid w:val="0024668A"/>
    <w:rsid w:val="002475A8"/>
    <w:rsid w:val="0024767F"/>
    <w:rsid w:val="0024785C"/>
    <w:rsid w:val="002504C8"/>
    <w:rsid w:val="00250A8B"/>
    <w:rsid w:val="00250B3A"/>
    <w:rsid w:val="00250C49"/>
    <w:rsid w:val="00251AE5"/>
    <w:rsid w:val="00252902"/>
    <w:rsid w:val="002536FF"/>
    <w:rsid w:val="0025542C"/>
    <w:rsid w:val="002560C2"/>
    <w:rsid w:val="00256CFF"/>
    <w:rsid w:val="00256DF4"/>
    <w:rsid w:val="00257147"/>
    <w:rsid w:val="00257F74"/>
    <w:rsid w:val="00260512"/>
    <w:rsid w:val="00262009"/>
    <w:rsid w:val="00262B43"/>
    <w:rsid w:val="00263452"/>
    <w:rsid w:val="0026370C"/>
    <w:rsid w:val="00264A3B"/>
    <w:rsid w:val="002660E8"/>
    <w:rsid w:val="00266475"/>
    <w:rsid w:val="00266D14"/>
    <w:rsid w:val="002704FF"/>
    <w:rsid w:val="002707B8"/>
    <w:rsid w:val="00270A61"/>
    <w:rsid w:val="00270E29"/>
    <w:rsid w:val="0027183E"/>
    <w:rsid w:val="00271CFB"/>
    <w:rsid w:val="00272F5E"/>
    <w:rsid w:val="0027346C"/>
    <w:rsid w:val="00273AB3"/>
    <w:rsid w:val="002753EC"/>
    <w:rsid w:val="0027540A"/>
    <w:rsid w:val="00276966"/>
    <w:rsid w:val="002802B5"/>
    <w:rsid w:val="00281512"/>
    <w:rsid w:val="00281BB1"/>
    <w:rsid w:val="00281DCA"/>
    <w:rsid w:val="00282295"/>
    <w:rsid w:val="00282C82"/>
    <w:rsid w:val="00283167"/>
    <w:rsid w:val="002838F4"/>
    <w:rsid w:val="00283EF8"/>
    <w:rsid w:val="00284685"/>
    <w:rsid w:val="0028486D"/>
    <w:rsid w:val="00285E18"/>
    <w:rsid w:val="0028603D"/>
    <w:rsid w:val="00286069"/>
    <w:rsid w:val="0028712F"/>
    <w:rsid w:val="00287664"/>
    <w:rsid w:val="00287698"/>
    <w:rsid w:val="002879C5"/>
    <w:rsid w:val="00287EFC"/>
    <w:rsid w:val="00290CF3"/>
    <w:rsid w:val="00291097"/>
    <w:rsid w:val="00291283"/>
    <w:rsid w:val="002916B7"/>
    <w:rsid w:val="00291C8D"/>
    <w:rsid w:val="002925F2"/>
    <w:rsid w:val="00293054"/>
    <w:rsid w:val="002930C1"/>
    <w:rsid w:val="00293D18"/>
    <w:rsid w:val="002958B7"/>
    <w:rsid w:val="002960DC"/>
    <w:rsid w:val="0029630C"/>
    <w:rsid w:val="0029741F"/>
    <w:rsid w:val="00297629"/>
    <w:rsid w:val="002A0FDC"/>
    <w:rsid w:val="002A174D"/>
    <w:rsid w:val="002A1954"/>
    <w:rsid w:val="002A3A87"/>
    <w:rsid w:val="002A4B21"/>
    <w:rsid w:val="002A503D"/>
    <w:rsid w:val="002A528E"/>
    <w:rsid w:val="002A52B5"/>
    <w:rsid w:val="002A74D6"/>
    <w:rsid w:val="002A7D53"/>
    <w:rsid w:val="002B026B"/>
    <w:rsid w:val="002B201F"/>
    <w:rsid w:val="002B2D08"/>
    <w:rsid w:val="002B2D2F"/>
    <w:rsid w:val="002B2DA0"/>
    <w:rsid w:val="002B2EB7"/>
    <w:rsid w:val="002B3B2F"/>
    <w:rsid w:val="002B6846"/>
    <w:rsid w:val="002B6AD3"/>
    <w:rsid w:val="002B712F"/>
    <w:rsid w:val="002B76C4"/>
    <w:rsid w:val="002C2E01"/>
    <w:rsid w:val="002C301A"/>
    <w:rsid w:val="002C3DCD"/>
    <w:rsid w:val="002C4424"/>
    <w:rsid w:val="002C61D3"/>
    <w:rsid w:val="002C7F4B"/>
    <w:rsid w:val="002D03CE"/>
    <w:rsid w:val="002D09D8"/>
    <w:rsid w:val="002D0DA6"/>
    <w:rsid w:val="002D16E4"/>
    <w:rsid w:val="002D1E31"/>
    <w:rsid w:val="002D2D53"/>
    <w:rsid w:val="002D35E5"/>
    <w:rsid w:val="002D4907"/>
    <w:rsid w:val="002D4AC3"/>
    <w:rsid w:val="002D5F0A"/>
    <w:rsid w:val="002D64E9"/>
    <w:rsid w:val="002D6F31"/>
    <w:rsid w:val="002E0DB4"/>
    <w:rsid w:val="002E16B4"/>
    <w:rsid w:val="002E21D6"/>
    <w:rsid w:val="002E31BD"/>
    <w:rsid w:val="002E5FEB"/>
    <w:rsid w:val="002F3C1B"/>
    <w:rsid w:val="002F3E97"/>
    <w:rsid w:val="002F41D1"/>
    <w:rsid w:val="002F45AA"/>
    <w:rsid w:val="002F6526"/>
    <w:rsid w:val="002F666A"/>
    <w:rsid w:val="002F6822"/>
    <w:rsid w:val="00300181"/>
    <w:rsid w:val="00300A5D"/>
    <w:rsid w:val="00300E62"/>
    <w:rsid w:val="00301DD0"/>
    <w:rsid w:val="00302329"/>
    <w:rsid w:val="0030320E"/>
    <w:rsid w:val="00303DFF"/>
    <w:rsid w:val="00304580"/>
    <w:rsid w:val="0030538C"/>
    <w:rsid w:val="00307B23"/>
    <w:rsid w:val="00310251"/>
    <w:rsid w:val="0031308C"/>
    <w:rsid w:val="00313C74"/>
    <w:rsid w:val="0031507B"/>
    <w:rsid w:val="0031605B"/>
    <w:rsid w:val="00317392"/>
    <w:rsid w:val="00320713"/>
    <w:rsid w:val="003217D3"/>
    <w:rsid w:val="00323A65"/>
    <w:rsid w:val="00323BB7"/>
    <w:rsid w:val="00323C8C"/>
    <w:rsid w:val="00323E8F"/>
    <w:rsid w:val="003242FA"/>
    <w:rsid w:val="00324E83"/>
    <w:rsid w:val="00325D0D"/>
    <w:rsid w:val="003260C7"/>
    <w:rsid w:val="003262BD"/>
    <w:rsid w:val="00326AA8"/>
    <w:rsid w:val="00327726"/>
    <w:rsid w:val="003311F6"/>
    <w:rsid w:val="00332704"/>
    <w:rsid w:val="003327DB"/>
    <w:rsid w:val="003329D5"/>
    <w:rsid w:val="00334026"/>
    <w:rsid w:val="003343AF"/>
    <w:rsid w:val="00334BB7"/>
    <w:rsid w:val="00335B22"/>
    <w:rsid w:val="00335F3C"/>
    <w:rsid w:val="0033778A"/>
    <w:rsid w:val="0034085D"/>
    <w:rsid w:val="00340B1E"/>
    <w:rsid w:val="003416AB"/>
    <w:rsid w:val="00341948"/>
    <w:rsid w:val="0034511B"/>
    <w:rsid w:val="003455E6"/>
    <w:rsid w:val="003457C5"/>
    <w:rsid w:val="00345970"/>
    <w:rsid w:val="00345E29"/>
    <w:rsid w:val="00347A04"/>
    <w:rsid w:val="003503FF"/>
    <w:rsid w:val="003524DD"/>
    <w:rsid w:val="003525E7"/>
    <w:rsid w:val="00353311"/>
    <w:rsid w:val="00353684"/>
    <w:rsid w:val="00354FE4"/>
    <w:rsid w:val="00356005"/>
    <w:rsid w:val="00356C4E"/>
    <w:rsid w:val="003601DC"/>
    <w:rsid w:val="00360F90"/>
    <w:rsid w:val="003612B8"/>
    <w:rsid w:val="003624F3"/>
    <w:rsid w:val="003631B6"/>
    <w:rsid w:val="00363943"/>
    <w:rsid w:val="00363DBD"/>
    <w:rsid w:val="00363DE0"/>
    <w:rsid w:val="003647A8"/>
    <w:rsid w:val="00364F09"/>
    <w:rsid w:val="00365350"/>
    <w:rsid w:val="0036616C"/>
    <w:rsid w:val="00367054"/>
    <w:rsid w:val="0036725F"/>
    <w:rsid w:val="00370697"/>
    <w:rsid w:val="00373A52"/>
    <w:rsid w:val="00373F7C"/>
    <w:rsid w:val="0037417B"/>
    <w:rsid w:val="00374E1D"/>
    <w:rsid w:val="00374EB9"/>
    <w:rsid w:val="0037562C"/>
    <w:rsid w:val="0037693B"/>
    <w:rsid w:val="00377AD9"/>
    <w:rsid w:val="00380B68"/>
    <w:rsid w:val="00380F5B"/>
    <w:rsid w:val="00381171"/>
    <w:rsid w:val="00381E10"/>
    <w:rsid w:val="00385344"/>
    <w:rsid w:val="0039010C"/>
    <w:rsid w:val="00390B0A"/>
    <w:rsid w:val="00390DE3"/>
    <w:rsid w:val="00393924"/>
    <w:rsid w:val="003963E4"/>
    <w:rsid w:val="00396F19"/>
    <w:rsid w:val="00397A67"/>
    <w:rsid w:val="00397F9E"/>
    <w:rsid w:val="003A0777"/>
    <w:rsid w:val="003A163E"/>
    <w:rsid w:val="003A1DA1"/>
    <w:rsid w:val="003A26DB"/>
    <w:rsid w:val="003A35E0"/>
    <w:rsid w:val="003A63C2"/>
    <w:rsid w:val="003A6BA3"/>
    <w:rsid w:val="003A7622"/>
    <w:rsid w:val="003B122C"/>
    <w:rsid w:val="003B3033"/>
    <w:rsid w:val="003B32DD"/>
    <w:rsid w:val="003B35D3"/>
    <w:rsid w:val="003B4031"/>
    <w:rsid w:val="003B4619"/>
    <w:rsid w:val="003B4D2D"/>
    <w:rsid w:val="003B5608"/>
    <w:rsid w:val="003B5A37"/>
    <w:rsid w:val="003B718B"/>
    <w:rsid w:val="003B7AEE"/>
    <w:rsid w:val="003B7BC5"/>
    <w:rsid w:val="003C044E"/>
    <w:rsid w:val="003C2A38"/>
    <w:rsid w:val="003C3572"/>
    <w:rsid w:val="003C3EE5"/>
    <w:rsid w:val="003C4539"/>
    <w:rsid w:val="003C4B52"/>
    <w:rsid w:val="003C4B8D"/>
    <w:rsid w:val="003C7BCD"/>
    <w:rsid w:val="003C7BD3"/>
    <w:rsid w:val="003C7E63"/>
    <w:rsid w:val="003D06CA"/>
    <w:rsid w:val="003D10CA"/>
    <w:rsid w:val="003D2F33"/>
    <w:rsid w:val="003D3DB2"/>
    <w:rsid w:val="003D4538"/>
    <w:rsid w:val="003D5E11"/>
    <w:rsid w:val="003D699D"/>
    <w:rsid w:val="003D7478"/>
    <w:rsid w:val="003D776D"/>
    <w:rsid w:val="003D7C50"/>
    <w:rsid w:val="003E05D7"/>
    <w:rsid w:val="003E0F81"/>
    <w:rsid w:val="003E1AFA"/>
    <w:rsid w:val="003E1B00"/>
    <w:rsid w:val="003E39D1"/>
    <w:rsid w:val="003E43A1"/>
    <w:rsid w:val="003E4AEB"/>
    <w:rsid w:val="003E52DA"/>
    <w:rsid w:val="003E551C"/>
    <w:rsid w:val="003E5854"/>
    <w:rsid w:val="003E7019"/>
    <w:rsid w:val="003E7DD9"/>
    <w:rsid w:val="003F1002"/>
    <w:rsid w:val="003F1A80"/>
    <w:rsid w:val="003F28C9"/>
    <w:rsid w:val="003F3C31"/>
    <w:rsid w:val="003F64ED"/>
    <w:rsid w:val="00400178"/>
    <w:rsid w:val="0040121C"/>
    <w:rsid w:val="00401398"/>
    <w:rsid w:val="00402560"/>
    <w:rsid w:val="00403B87"/>
    <w:rsid w:val="00404141"/>
    <w:rsid w:val="0040716B"/>
    <w:rsid w:val="00407A68"/>
    <w:rsid w:val="0041028C"/>
    <w:rsid w:val="0041037D"/>
    <w:rsid w:val="00410D20"/>
    <w:rsid w:val="00411F38"/>
    <w:rsid w:val="004123E2"/>
    <w:rsid w:val="00412F12"/>
    <w:rsid w:val="0041412B"/>
    <w:rsid w:val="00414A70"/>
    <w:rsid w:val="00414B22"/>
    <w:rsid w:val="0041558C"/>
    <w:rsid w:val="004210BF"/>
    <w:rsid w:val="0042306E"/>
    <w:rsid w:val="00423ABC"/>
    <w:rsid w:val="00423D39"/>
    <w:rsid w:val="0042526C"/>
    <w:rsid w:val="004258F3"/>
    <w:rsid w:val="00425C51"/>
    <w:rsid w:val="00425DDD"/>
    <w:rsid w:val="00426096"/>
    <w:rsid w:val="004268BD"/>
    <w:rsid w:val="00426FD2"/>
    <w:rsid w:val="004277AA"/>
    <w:rsid w:val="004316BD"/>
    <w:rsid w:val="00431B42"/>
    <w:rsid w:val="00431CA9"/>
    <w:rsid w:val="00432CF8"/>
    <w:rsid w:val="00433821"/>
    <w:rsid w:val="00435CE2"/>
    <w:rsid w:val="00435D38"/>
    <w:rsid w:val="00437228"/>
    <w:rsid w:val="00437371"/>
    <w:rsid w:val="004377AF"/>
    <w:rsid w:val="00437DE7"/>
    <w:rsid w:val="004406CF"/>
    <w:rsid w:val="00441C2D"/>
    <w:rsid w:val="00443333"/>
    <w:rsid w:val="0044354D"/>
    <w:rsid w:val="0044505F"/>
    <w:rsid w:val="004454D3"/>
    <w:rsid w:val="00446B4B"/>
    <w:rsid w:val="0045193E"/>
    <w:rsid w:val="00451DC4"/>
    <w:rsid w:val="0045273D"/>
    <w:rsid w:val="00453135"/>
    <w:rsid w:val="00455556"/>
    <w:rsid w:val="0045557C"/>
    <w:rsid w:val="004575BB"/>
    <w:rsid w:val="0045763E"/>
    <w:rsid w:val="00457A4B"/>
    <w:rsid w:val="0046069A"/>
    <w:rsid w:val="004619E4"/>
    <w:rsid w:val="00461D3B"/>
    <w:rsid w:val="00462CC4"/>
    <w:rsid w:val="00462D91"/>
    <w:rsid w:val="004643F0"/>
    <w:rsid w:val="004645B5"/>
    <w:rsid w:val="00464BC7"/>
    <w:rsid w:val="00465998"/>
    <w:rsid w:val="00466C79"/>
    <w:rsid w:val="0046711D"/>
    <w:rsid w:val="00467483"/>
    <w:rsid w:val="004676AD"/>
    <w:rsid w:val="00467C43"/>
    <w:rsid w:val="0047030E"/>
    <w:rsid w:val="00470E98"/>
    <w:rsid w:val="004716CE"/>
    <w:rsid w:val="0047381D"/>
    <w:rsid w:val="0047669C"/>
    <w:rsid w:val="00476919"/>
    <w:rsid w:val="00477EAB"/>
    <w:rsid w:val="00480D2B"/>
    <w:rsid w:val="00481940"/>
    <w:rsid w:val="00481E55"/>
    <w:rsid w:val="004820CC"/>
    <w:rsid w:val="00482A31"/>
    <w:rsid w:val="004836D0"/>
    <w:rsid w:val="00484B05"/>
    <w:rsid w:val="00484B3B"/>
    <w:rsid w:val="00485B02"/>
    <w:rsid w:val="0048656D"/>
    <w:rsid w:val="00487688"/>
    <w:rsid w:val="00487C1A"/>
    <w:rsid w:val="00487CE1"/>
    <w:rsid w:val="00490329"/>
    <w:rsid w:val="00491B56"/>
    <w:rsid w:val="00492CBE"/>
    <w:rsid w:val="00492F88"/>
    <w:rsid w:val="00493086"/>
    <w:rsid w:val="00494F26"/>
    <w:rsid w:val="004959C9"/>
    <w:rsid w:val="00496412"/>
    <w:rsid w:val="004A14F9"/>
    <w:rsid w:val="004A1CF6"/>
    <w:rsid w:val="004A2484"/>
    <w:rsid w:val="004A260C"/>
    <w:rsid w:val="004A37CF"/>
    <w:rsid w:val="004A4A1C"/>
    <w:rsid w:val="004A53B1"/>
    <w:rsid w:val="004A5C17"/>
    <w:rsid w:val="004A627C"/>
    <w:rsid w:val="004A6C11"/>
    <w:rsid w:val="004A6EBE"/>
    <w:rsid w:val="004B2001"/>
    <w:rsid w:val="004B2176"/>
    <w:rsid w:val="004B2848"/>
    <w:rsid w:val="004B32DB"/>
    <w:rsid w:val="004B3CF3"/>
    <w:rsid w:val="004B3E9A"/>
    <w:rsid w:val="004B477A"/>
    <w:rsid w:val="004B4FE5"/>
    <w:rsid w:val="004B5489"/>
    <w:rsid w:val="004B7D9C"/>
    <w:rsid w:val="004C08C2"/>
    <w:rsid w:val="004C2E39"/>
    <w:rsid w:val="004C2E6D"/>
    <w:rsid w:val="004C30D2"/>
    <w:rsid w:val="004C3331"/>
    <w:rsid w:val="004C3B77"/>
    <w:rsid w:val="004C3C7C"/>
    <w:rsid w:val="004C5CA6"/>
    <w:rsid w:val="004C70CC"/>
    <w:rsid w:val="004C7BB7"/>
    <w:rsid w:val="004C7E96"/>
    <w:rsid w:val="004D0508"/>
    <w:rsid w:val="004D2418"/>
    <w:rsid w:val="004D2BF6"/>
    <w:rsid w:val="004D3271"/>
    <w:rsid w:val="004D4811"/>
    <w:rsid w:val="004D4BA0"/>
    <w:rsid w:val="004D4F45"/>
    <w:rsid w:val="004D64C4"/>
    <w:rsid w:val="004D7883"/>
    <w:rsid w:val="004D7A57"/>
    <w:rsid w:val="004D7FEC"/>
    <w:rsid w:val="004E0274"/>
    <w:rsid w:val="004E10D0"/>
    <w:rsid w:val="004E1614"/>
    <w:rsid w:val="004E1BEB"/>
    <w:rsid w:val="004E2399"/>
    <w:rsid w:val="004E27E8"/>
    <w:rsid w:val="004E3136"/>
    <w:rsid w:val="004E3B46"/>
    <w:rsid w:val="004E60D8"/>
    <w:rsid w:val="004E78E3"/>
    <w:rsid w:val="004F04EF"/>
    <w:rsid w:val="004F0709"/>
    <w:rsid w:val="004F1892"/>
    <w:rsid w:val="004F1B21"/>
    <w:rsid w:val="004F2840"/>
    <w:rsid w:val="004F3093"/>
    <w:rsid w:val="004F3DA6"/>
    <w:rsid w:val="004F3E9B"/>
    <w:rsid w:val="004F4594"/>
    <w:rsid w:val="004F4773"/>
    <w:rsid w:val="004F6101"/>
    <w:rsid w:val="004F62F7"/>
    <w:rsid w:val="004F6773"/>
    <w:rsid w:val="004F7CC0"/>
    <w:rsid w:val="004F7E95"/>
    <w:rsid w:val="00501372"/>
    <w:rsid w:val="005014DE"/>
    <w:rsid w:val="0050177A"/>
    <w:rsid w:val="0050232A"/>
    <w:rsid w:val="0050268C"/>
    <w:rsid w:val="0050291B"/>
    <w:rsid w:val="00502C06"/>
    <w:rsid w:val="00502E7B"/>
    <w:rsid w:val="00503452"/>
    <w:rsid w:val="0050382D"/>
    <w:rsid w:val="00505380"/>
    <w:rsid w:val="0050605D"/>
    <w:rsid w:val="0050686A"/>
    <w:rsid w:val="00507523"/>
    <w:rsid w:val="00510ECB"/>
    <w:rsid w:val="00511410"/>
    <w:rsid w:val="00511535"/>
    <w:rsid w:val="00511AFE"/>
    <w:rsid w:val="00512DA5"/>
    <w:rsid w:val="005136D7"/>
    <w:rsid w:val="005139B1"/>
    <w:rsid w:val="005146B0"/>
    <w:rsid w:val="00514BEE"/>
    <w:rsid w:val="0051508B"/>
    <w:rsid w:val="00515A4C"/>
    <w:rsid w:val="005163C3"/>
    <w:rsid w:val="00520539"/>
    <w:rsid w:val="00521DA1"/>
    <w:rsid w:val="00522BEC"/>
    <w:rsid w:val="00523015"/>
    <w:rsid w:val="00523C78"/>
    <w:rsid w:val="0052456D"/>
    <w:rsid w:val="00524A05"/>
    <w:rsid w:val="00524CB2"/>
    <w:rsid w:val="00525E7B"/>
    <w:rsid w:val="0052756C"/>
    <w:rsid w:val="0053086B"/>
    <w:rsid w:val="00530C6C"/>
    <w:rsid w:val="00532B29"/>
    <w:rsid w:val="00532D74"/>
    <w:rsid w:val="00532EFD"/>
    <w:rsid w:val="00533105"/>
    <w:rsid w:val="0053413D"/>
    <w:rsid w:val="00534F58"/>
    <w:rsid w:val="00535440"/>
    <w:rsid w:val="0053584F"/>
    <w:rsid w:val="00535AC7"/>
    <w:rsid w:val="00536DD0"/>
    <w:rsid w:val="00536F8E"/>
    <w:rsid w:val="00540867"/>
    <w:rsid w:val="00540A34"/>
    <w:rsid w:val="00543169"/>
    <w:rsid w:val="0054343A"/>
    <w:rsid w:val="0054403E"/>
    <w:rsid w:val="00544F5D"/>
    <w:rsid w:val="00544FC3"/>
    <w:rsid w:val="00545BDF"/>
    <w:rsid w:val="00545D7C"/>
    <w:rsid w:val="00546116"/>
    <w:rsid w:val="00547590"/>
    <w:rsid w:val="00547D02"/>
    <w:rsid w:val="0055072F"/>
    <w:rsid w:val="00550DC9"/>
    <w:rsid w:val="00550F69"/>
    <w:rsid w:val="00551FA6"/>
    <w:rsid w:val="00552244"/>
    <w:rsid w:val="005532F8"/>
    <w:rsid w:val="0055341A"/>
    <w:rsid w:val="005535B6"/>
    <w:rsid w:val="00553D75"/>
    <w:rsid w:val="00554E23"/>
    <w:rsid w:val="00556028"/>
    <w:rsid w:val="00556AF9"/>
    <w:rsid w:val="005574D4"/>
    <w:rsid w:val="00557B5B"/>
    <w:rsid w:val="00557CFA"/>
    <w:rsid w:val="00560292"/>
    <w:rsid w:val="00561355"/>
    <w:rsid w:val="00562EC4"/>
    <w:rsid w:val="00563C6A"/>
    <w:rsid w:val="00564154"/>
    <w:rsid w:val="00565829"/>
    <w:rsid w:val="00566571"/>
    <w:rsid w:val="00566893"/>
    <w:rsid w:val="00566905"/>
    <w:rsid w:val="00570627"/>
    <w:rsid w:val="00571A2E"/>
    <w:rsid w:val="00571A94"/>
    <w:rsid w:val="00571D0A"/>
    <w:rsid w:val="00573212"/>
    <w:rsid w:val="005762B9"/>
    <w:rsid w:val="00577212"/>
    <w:rsid w:val="00577660"/>
    <w:rsid w:val="005812CC"/>
    <w:rsid w:val="00581397"/>
    <w:rsid w:val="00582D8C"/>
    <w:rsid w:val="00583949"/>
    <w:rsid w:val="00583FA8"/>
    <w:rsid w:val="005859ED"/>
    <w:rsid w:val="00586047"/>
    <w:rsid w:val="00586568"/>
    <w:rsid w:val="00586E1F"/>
    <w:rsid w:val="005872C2"/>
    <w:rsid w:val="00587E46"/>
    <w:rsid w:val="0059031A"/>
    <w:rsid w:val="005903AE"/>
    <w:rsid w:val="00590650"/>
    <w:rsid w:val="0059168C"/>
    <w:rsid w:val="00591E7F"/>
    <w:rsid w:val="0059244D"/>
    <w:rsid w:val="00592933"/>
    <w:rsid w:val="0059423D"/>
    <w:rsid w:val="00595C48"/>
    <w:rsid w:val="00596E10"/>
    <w:rsid w:val="00597040"/>
    <w:rsid w:val="005A151C"/>
    <w:rsid w:val="005A1927"/>
    <w:rsid w:val="005A2703"/>
    <w:rsid w:val="005A27BB"/>
    <w:rsid w:val="005A4060"/>
    <w:rsid w:val="005A515D"/>
    <w:rsid w:val="005A6762"/>
    <w:rsid w:val="005A6BCA"/>
    <w:rsid w:val="005A6BE2"/>
    <w:rsid w:val="005A782A"/>
    <w:rsid w:val="005A7F48"/>
    <w:rsid w:val="005B1161"/>
    <w:rsid w:val="005B183B"/>
    <w:rsid w:val="005B2161"/>
    <w:rsid w:val="005B2911"/>
    <w:rsid w:val="005B2B9D"/>
    <w:rsid w:val="005B3EC8"/>
    <w:rsid w:val="005B51BF"/>
    <w:rsid w:val="005B5218"/>
    <w:rsid w:val="005B6563"/>
    <w:rsid w:val="005B7002"/>
    <w:rsid w:val="005C08BF"/>
    <w:rsid w:val="005C1014"/>
    <w:rsid w:val="005C150E"/>
    <w:rsid w:val="005C17A9"/>
    <w:rsid w:val="005C1D6F"/>
    <w:rsid w:val="005C20B7"/>
    <w:rsid w:val="005C2846"/>
    <w:rsid w:val="005C2E04"/>
    <w:rsid w:val="005C39AE"/>
    <w:rsid w:val="005C562B"/>
    <w:rsid w:val="005C570D"/>
    <w:rsid w:val="005C5908"/>
    <w:rsid w:val="005C5E4C"/>
    <w:rsid w:val="005C5ED0"/>
    <w:rsid w:val="005C7F6F"/>
    <w:rsid w:val="005D079D"/>
    <w:rsid w:val="005D15F7"/>
    <w:rsid w:val="005D3AFD"/>
    <w:rsid w:val="005D5E18"/>
    <w:rsid w:val="005D5F1A"/>
    <w:rsid w:val="005D6A36"/>
    <w:rsid w:val="005E120D"/>
    <w:rsid w:val="005E288A"/>
    <w:rsid w:val="005E3A29"/>
    <w:rsid w:val="005E47CA"/>
    <w:rsid w:val="005E64EB"/>
    <w:rsid w:val="005E6A92"/>
    <w:rsid w:val="005E7716"/>
    <w:rsid w:val="005F0BF6"/>
    <w:rsid w:val="005F16D5"/>
    <w:rsid w:val="005F340A"/>
    <w:rsid w:val="005F3D87"/>
    <w:rsid w:val="005F4A44"/>
    <w:rsid w:val="005F6450"/>
    <w:rsid w:val="005F79DF"/>
    <w:rsid w:val="006000A0"/>
    <w:rsid w:val="00600FA1"/>
    <w:rsid w:val="00601A96"/>
    <w:rsid w:val="006026E5"/>
    <w:rsid w:val="00603EB2"/>
    <w:rsid w:val="00604289"/>
    <w:rsid w:val="00604B3C"/>
    <w:rsid w:val="006060B0"/>
    <w:rsid w:val="00607361"/>
    <w:rsid w:val="00607BE2"/>
    <w:rsid w:val="00615193"/>
    <w:rsid w:val="0061676F"/>
    <w:rsid w:val="0061726D"/>
    <w:rsid w:val="00617875"/>
    <w:rsid w:val="00617A1E"/>
    <w:rsid w:val="0062128F"/>
    <w:rsid w:val="00621636"/>
    <w:rsid w:val="00623A00"/>
    <w:rsid w:val="00623FE1"/>
    <w:rsid w:val="006252D5"/>
    <w:rsid w:val="00625C69"/>
    <w:rsid w:val="00626D2B"/>
    <w:rsid w:val="006271F1"/>
    <w:rsid w:val="00632FB3"/>
    <w:rsid w:val="00636B8C"/>
    <w:rsid w:val="00636CF9"/>
    <w:rsid w:val="006375B2"/>
    <w:rsid w:val="00637DF1"/>
    <w:rsid w:val="006403BE"/>
    <w:rsid w:val="00640982"/>
    <w:rsid w:val="00640FE1"/>
    <w:rsid w:val="006418C2"/>
    <w:rsid w:val="00644E29"/>
    <w:rsid w:val="006470B3"/>
    <w:rsid w:val="0064739D"/>
    <w:rsid w:val="0064794B"/>
    <w:rsid w:val="006503E2"/>
    <w:rsid w:val="0065081E"/>
    <w:rsid w:val="006512D5"/>
    <w:rsid w:val="00651B8C"/>
    <w:rsid w:val="00652454"/>
    <w:rsid w:val="006524ED"/>
    <w:rsid w:val="00652E9F"/>
    <w:rsid w:val="00653FD5"/>
    <w:rsid w:val="006552E7"/>
    <w:rsid w:val="00655A0D"/>
    <w:rsid w:val="00655AB3"/>
    <w:rsid w:val="00656590"/>
    <w:rsid w:val="00656C40"/>
    <w:rsid w:val="0066070A"/>
    <w:rsid w:val="00660DF3"/>
    <w:rsid w:val="00661F3C"/>
    <w:rsid w:val="0066253F"/>
    <w:rsid w:val="00662580"/>
    <w:rsid w:val="006625DF"/>
    <w:rsid w:val="00662BCC"/>
    <w:rsid w:val="00663B91"/>
    <w:rsid w:val="00663F61"/>
    <w:rsid w:val="006642F8"/>
    <w:rsid w:val="0066448E"/>
    <w:rsid w:val="00665B05"/>
    <w:rsid w:val="00665D06"/>
    <w:rsid w:val="00666435"/>
    <w:rsid w:val="00671184"/>
    <w:rsid w:val="00674CA2"/>
    <w:rsid w:val="00674D53"/>
    <w:rsid w:val="00675D77"/>
    <w:rsid w:val="006760AA"/>
    <w:rsid w:val="00676D72"/>
    <w:rsid w:val="0067711B"/>
    <w:rsid w:val="00677AA9"/>
    <w:rsid w:val="006801D2"/>
    <w:rsid w:val="0068039C"/>
    <w:rsid w:val="00680FAB"/>
    <w:rsid w:val="00681979"/>
    <w:rsid w:val="0068208E"/>
    <w:rsid w:val="006835FE"/>
    <w:rsid w:val="00684093"/>
    <w:rsid w:val="006844DF"/>
    <w:rsid w:val="00685619"/>
    <w:rsid w:val="00685B5D"/>
    <w:rsid w:val="00686D1E"/>
    <w:rsid w:val="00687217"/>
    <w:rsid w:val="0068735E"/>
    <w:rsid w:val="00687A52"/>
    <w:rsid w:val="00690BBA"/>
    <w:rsid w:val="00691C2C"/>
    <w:rsid w:val="00692E2E"/>
    <w:rsid w:val="00695389"/>
    <w:rsid w:val="00695A47"/>
    <w:rsid w:val="00696808"/>
    <w:rsid w:val="006A0BD8"/>
    <w:rsid w:val="006A1856"/>
    <w:rsid w:val="006A1DAC"/>
    <w:rsid w:val="006A29AF"/>
    <w:rsid w:val="006A481D"/>
    <w:rsid w:val="006A6134"/>
    <w:rsid w:val="006A62C5"/>
    <w:rsid w:val="006A6D90"/>
    <w:rsid w:val="006A7215"/>
    <w:rsid w:val="006B050E"/>
    <w:rsid w:val="006B0F29"/>
    <w:rsid w:val="006B1441"/>
    <w:rsid w:val="006B279F"/>
    <w:rsid w:val="006B52D3"/>
    <w:rsid w:val="006B5854"/>
    <w:rsid w:val="006B6247"/>
    <w:rsid w:val="006B6446"/>
    <w:rsid w:val="006C236D"/>
    <w:rsid w:val="006C259F"/>
    <w:rsid w:val="006C3BFE"/>
    <w:rsid w:val="006C445C"/>
    <w:rsid w:val="006C60E6"/>
    <w:rsid w:val="006C7E20"/>
    <w:rsid w:val="006D0788"/>
    <w:rsid w:val="006D0A90"/>
    <w:rsid w:val="006D138B"/>
    <w:rsid w:val="006D23C0"/>
    <w:rsid w:val="006D35EF"/>
    <w:rsid w:val="006D41B2"/>
    <w:rsid w:val="006D44B2"/>
    <w:rsid w:val="006D50B6"/>
    <w:rsid w:val="006D6460"/>
    <w:rsid w:val="006D6755"/>
    <w:rsid w:val="006D6870"/>
    <w:rsid w:val="006D6AC2"/>
    <w:rsid w:val="006D7797"/>
    <w:rsid w:val="006D7BE2"/>
    <w:rsid w:val="006E1001"/>
    <w:rsid w:val="006E32B0"/>
    <w:rsid w:val="006E3AFC"/>
    <w:rsid w:val="006E46A2"/>
    <w:rsid w:val="006E5685"/>
    <w:rsid w:val="006F0621"/>
    <w:rsid w:val="006F136B"/>
    <w:rsid w:val="006F259D"/>
    <w:rsid w:val="006F2661"/>
    <w:rsid w:val="006F28E2"/>
    <w:rsid w:val="006F2D0F"/>
    <w:rsid w:val="006F3424"/>
    <w:rsid w:val="006F4825"/>
    <w:rsid w:val="006F51CF"/>
    <w:rsid w:val="006F58B9"/>
    <w:rsid w:val="006F64FE"/>
    <w:rsid w:val="006F6535"/>
    <w:rsid w:val="006F6A5B"/>
    <w:rsid w:val="0070019A"/>
    <w:rsid w:val="007002EC"/>
    <w:rsid w:val="00700C28"/>
    <w:rsid w:val="00700D8D"/>
    <w:rsid w:val="007022E0"/>
    <w:rsid w:val="00702975"/>
    <w:rsid w:val="00704476"/>
    <w:rsid w:val="00704BBE"/>
    <w:rsid w:val="0070546B"/>
    <w:rsid w:val="00706136"/>
    <w:rsid w:val="007064FE"/>
    <w:rsid w:val="00707F8D"/>
    <w:rsid w:val="00710A99"/>
    <w:rsid w:val="00712202"/>
    <w:rsid w:val="00712660"/>
    <w:rsid w:val="0071280D"/>
    <w:rsid w:val="00713283"/>
    <w:rsid w:val="00715904"/>
    <w:rsid w:val="007159CD"/>
    <w:rsid w:val="00716447"/>
    <w:rsid w:val="00716C65"/>
    <w:rsid w:val="00717687"/>
    <w:rsid w:val="00721120"/>
    <w:rsid w:val="007216F0"/>
    <w:rsid w:val="00721EA7"/>
    <w:rsid w:val="00722442"/>
    <w:rsid w:val="00724D0F"/>
    <w:rsid w:val="0072797F"/>
    <w:rsid w:val="00727A99"/>
    <w:rsid w:val="007315C9"/>
    <w:rsid w:val="00731688"/>
    <w:rsid w:val="0073247B"/>
    <w:rsid w:val="00732BD7"/>
    <w:rsid w:val="00732FDF"/>
    <w:rsid w:val="007345F9"/>
    <w:rsid w:val="00735960"/>
    <w:rsid w:val="007362AE"/>
    <w:rsid w:val="007375F9"/>
    <w:rsid w:val="0073787F"/>
    <w:rsid w:val="00737EE8"/>
    <w:rsid w:val="00740570"/>
    <w:rsid w:val="00740CF2"/>
    <w:rsid w:val="007420C4"/>
    <w:rsid w:val="00742EBD"/>
    <w:rsid w:val="007443C5"/>
    <w:rsid w:val="007445F9"/>
    <w:rsid w:val="007448BB"/>
    <w:rsid w:val="00744B83"/>
    <w:rsid w:val="007452EB"/>
    <w:rsid w:val="007477B9"/>
    <w:rsid w:val="0074790A"/>
    <w:rsid w:val="00747B57"/>
    <w:rsid w:val="00747EAF"/>
    <w:rsid w:val="00750BF5"/>
    <w:rsid w:val="0075115D"/>
    <w:rsid w:val="00751B4B"/>
    <w:rsid w:val="0075249E"/>
    <w:rsid w:val="007538C4"/>
    <w:rsid w:val="00754E0A"/>
    <w:rsid w:val="00755C6A"/>
    <w:rsid w:val="007565DE"/>
    <w:rsid w:val="00756C33"/>
    <w:rsid w:val="00756D95"/>
    <w:rsid w:val="0076399A"/>
    <w:rsid w:val="0076402C"/>
    <w:rsid w:val="00764D21"/>
    <w:rsid w:val="00764F6F"/>
    <w:rsid w:val="007650CB"/>
    <w:rsid w:val="00765B87"/>
    <w:rsid w:val="00766745"/>
    <w:rsid w:val="007667B4"/>
    <w:rsid w:val="00766993"/>
    <w:rsid w:val="00770577"/>
    <w:rsid w:val="00770E86"/>
    <w:rsid w:val="00771898"/>
    <w:rsid w:val="007741B7"/>
    <w:rsid w:val="0077489D"/>
    <w:rsid w:val="00775224"/>
    <w:rsid w:val="00775252"/>
    <w:rsid w:val="0077593B"/>
    <w:rsid w:val="00775E6C"/>
    <w:rsid w:val="0077645E"/>
    <w:rsid w:val="00776F93"/>
    <w:rsid w:val="00777B9F"/>
    <w:rsid w:val="007801B6"/>
    <w:rsid w:val="007812EE"/>
    <w:rsid w:val="00782093"/>
    <w:rsid w:val="00782665"/>
    <w:rsid w:val="007827DC"/>
    <w:rsid w:val="00783627"/>
    <w:rsid w:val="007851AF"/>
    <w:rsid w:val="00787241"/>
    <w:rsid w:val="007902BB"/>
    <w:rsid w:val="007908F1"/>
    <w:rsid w:val="0079186A"/>
    <w:rsid w:val="00791C40"/>
    <w:rsid w:val="00792476"/>
    <w:rsid w:val="00792A3B"/>
    <w:rsid w:val="00795299"/>
    <w:rsid w:val="0079598D"/>
    <w:rsid w:val="007975B3"/>
    <w:rsid w:val="007A00AB"/>
    <w:rsid w:val="007A04DD"/>
    <w:rsid w:val="007A09BB"/>
    <w:rsid w:val="007A0A63"/>
    <w:rsid w:val="007A0CD1"/>
    <w:rsid w:val="007A109D"/>
    <w:rsid w:val="007A359C"/>
    <w:rsid w:val="007A3667"/>
    <w:rsid w:val="007A3EB6"/>
    <w:rsid w:val="007A4B01"/>
    <w:rsid w:val="007A5F63"/>
    <w:rsid w:val="007A5F86"/>
    <w:rsid w:val="007A6DC3"/>
    <w:rsid w:val="007B1117"/>
    <w:rsid w:val="007B1210"/>
    <w:rsid w:val="007B1743"/>
    <w:rsid w:val="007B1E23"/>
    <w:rsid w:val="007B1FFD"/>
    <w:rsid w:val="007B302C"/>
    <w:rsid w:val="007B310E"/>
    <w:rsid w:val="007B35C9"/>
    <w:rsid w:val="007B3C27"/>
    <w:rsid w:val="007B4942"/>
    <w:rsid w:val="007B6179"/>
    <w:rsid w:val="007B6ABA"/>
    <w:rsid w:val="007C0B28"/>
    <w:rsid w:val="007C4150"/>
    <w:rsid w:val="007C49D4"/>
    <w:rsid w:val="007C5889"/>
    <w:rsid w:val="007C5ACB"/>
    <w:rsid w:val="007C72E3"/>
    <w:rsid w:val="007C76CF"/>
    <w:rsid w:val="007D0647"/>
    <w:rsid w:val="007D11F3"/>
    <w:rsid w:val="007D159D"/>
    <w:rsid w:val="007D1605"/>
    <w:rsid w:val="007D236B"/>
    <w:rsid w:val="007D2DA2"/>
    <w:rsid w:val="007D30AC"/>
    <w:rsid w:val="007D3B58"/>
    <w:rsid w:val="007D512D"/>
    <w:rsid w:val="007D58A9"/>
    <w:rsid w:val="007D6926"/>
    <w:rsid w:val="007D7708"/>
    <w:rsid w:val="007E0D06"/>
    <w:rsid w:val="007E0D8F"/>
    <w:rsid w:val="007E1023"/>
    <w:rsid w:val="007E1187"/>
    <w:rsid w:val="007E1657"/>
    <w:rsid w:val="007E2C2A"/>
    <w:rsid w:val="007E323A"/>
    <w:rsid w:val="007E348E"/>
    <w:rsid w:val="007E44AF"/>
    <w:rsid w:val="007E4B73"/>
    <w:rsid w:val="007E4F1C"/>
    <w:rsid w:val="007E6FEE"/>
    <w:rsid w:val="007E7263"/>
    <w:rsid w:val="007E7581"/>
    <w:rsid w:val="007E7917"/>
    <w:rsid w:val="007E7BD8"/>
    <w:rsid w:val="007E7C91"/>
    <w:rsid w:val="007F27B5"/>
    <w:rsid w:val="007F3C61"/>
    <w:rsid w:val="007F5881"/>
    <w:rsid w:val="007F5F25"/>
    <w:rsid w:val="007F71A7"/>
    <w:rsid w:val="007F7FB6"/>
    <w:rsid w:val="008011AC"/>
    <w:rsid w:val="008036C1"/>
    <w:rsid w:val="00804011"/>
    <w:rsid w:val="00804D6D"/>
    <w:rsid w:val="00805857"/>
    <w:rsid w:val="00806C04"/>
    <w:rsid w:val="008074ED"/>
    <w:rsid w:val="00812424"/>
    <w:rsid w:val="00812BAE"/>
    <w:rsid w:val="008144CC"/>
    <w:rsid w:val="0081451D"/>
    <w:rsid w:val="00815396"/>
    <w:rsid w:val="00815400"/>
    <w:rsid w:val="0081543C"/>
    <w:rsid w:val="00815765"/>
    <w:rsid w:val="00816C30"/>
    <w:rsid w:val="0081768F"/>
    <w:rsid w:val="008201B6"/>
    <w:rsid w:val="00820D7F"/>
    <w:rsid w:val="00821F74"/>
    <w:rsid w:val="008220CF"/>
    <w:rsid w:val="0082233C"/>
    <w:rsid w:val="008225C0"/>
    <w:rsid w:val="00825CB7"/>
    <w:rsid w:val="00826388"/>
    <w:rsid w:val="0082644A"/>
    <w:rsid w:val="0083031C"/>
    <w:rsid w:val="008305D4"/>
    <w:rsid w:val="0083083C"/>
    <w:rsid w:val="00834096"/>
    <w:rsid w:val="008340CE"/>
    <w:rsid w:val="00834746"/>
    <w:rsid w:val="008362B1"/>
    <w:rsid w:val="008364AE"/>
    <w:rsid w:val="0083698E"/>
    <w:rsid w:val="00840FCD"/>
    <w:rsid w:val="008417B2"/>
    <w:rsid w:val="00841BB0"/>
    <w:rsid w:val="00843B34"/>
    <w:rsid w:val="00843CD2"/>
    <w:rsid w:val="008443A4"/>
    <w:rsid w:val="00844EAA"/>
    <w:rsid w:val="00845EA1"/>
    <w:rsid w:val="00846610"/>
    <w:rsid w:val="008475EF"/>
    <w:rsid w:val="008476DA"/>
    <w:rsid w:val="00847CF3"/>
    <w:rsid w:val="0085007C"/>
    <w:rsid w:val="0085211B"/>
    <w:rsid w:val="00852FE1"/>
    <w:rsid w:val="0085333E"/>
    <w:rsid w:val="00854681"/>
    <w:rsid w:val="008555B8"/>
    <w:rsid w:val="00855BFD"/>
    <w:rsid w:val="00857A85"/>
    <w:rsid w:val="00860140"/>
    <w:rsid w:val="00860851"/>
    <w:rsid w:val="00861588"/>
    <w:rsid w:val="008628BD"/>
    <w:rsid w:val="0086372D"/>
    <w:rsid w:val="00863A96"/>
    <w:rsid w:val="00865627"/>
    <w:rsid w:val="00866DA6"/>
    <w:rsid w:val="008675A7"/>
    <w:rsid w:val="00867A15"/>
    <w:rsid w:val="00867C9A"/>
    <w:rsid w:val="00870639"/>
    <w:rsid w:val="008721A6"/>
    <w:rsid w:val="00872B30"/>
    <w:rsid w:val="00872D22"/>
    <w:rsid w:val="00873BB8"/>
    <w:rsid w:val="00875349"/>
    <w:rsid w:val="008758DE"/>
    <w:rsid w:val="0087597B"/>
    <w:rsid w:val="008768FD"/>
    <w:rsid w:val="008775C9"/>
    <w:rsid w:val="00881F04"/>
    <w:rsid w:val="00883D9A"/>
    <w:rsid w:val="008868AD"/>
    <w:rsid w:val="008868E3"/>
    <w:rsid w:val="00890614"/>
    <w:rsid w:val="00890F67"/>
    <w:rsid w:val="008912EA"/>
    <w:rsid w:val="0089199D"/>
    <w:rsid w:val="00892678"/>
    <w:rsid w:val="00892E5B"/>
    <w:rsid w:val="0089440A"/>
    <w:rsid w:val="00894E1A"/>
    <w:rsid w:val="0089526D"/>
    <w:rsid w:val="00895852"/>
    <w:rsid w:val="0089624E"/>
    <w:rsid w:val="00896523"/>
    <w:rsid w:val="008A0678"/>
    <w:rsid w:val="008A0CE2"/>
    <w:rsid w:val="008A2261"/>
    <w:rsid w:val="008A2AFC"/>
    <w:rsid w:val="008A3AEF"/>
    <w:rsid w:val="008A427F"/>
    <w:rsid w:val="008A482D"/>
    <w:rsid w:val="008A48F9"/>
    <w:rsid w:val="008A551E"/>
    <w:rsid w:val="008A554A"/>
    <w:rsid w:val="008B0213"/>
    <w:rsid w:val="008B127D"/>
    <w:rsid w:val="008B1FB9"/>
    <w:rsid w:val="008B33C4"/>
    <w:rsid w:val="008B44FE"/>
    <w:rsid w:val="008B5C4E"/>
    <w:rsid w:val="008B79CE"/>
    <w:rsid w:val="008B7C44"/>
    <w:rsid w:val="008C13E8"/>
    <w:rsid w:val="008C1407"/>
    <w:rsid w:val="008C1B40"/>
    <w:rsid w:val="008C3756"/>
    <w:rsid w:val="008C3F74"/>
    <w:rsid w:val="008C5E82"/>
    <w:rsid w:val="008C6264"/>
    <w:rsid w:val="008C62AC"/>
    <w:rsid w:val="008C6767"/>
    <w:rsid w:val="008D00FA"/>
    <w:rsid w:val="008D17F6"/>
    <w:rsid w:val="008D1C88"/>
    <w:rsid w:val="008D2125"/>
    <w:rsid w:val="008D38AB"/>
    <w:rsid w:val="008D43F7"/>
    <w:rsid w:val="008D4408"/>
    <w:rsid w:val="008D4A95"/>
    <w:rsid w:val="008D6861"/>
    <w:rsid w:val="008E035E"/>
    <w:rsid w:val="008E12FF"/>
    <w:rsid w:val="008E282E"/>
    <w:rsid w:val="008E2B1B"/>
    <w:rsid w:val="008E2DDD"/>
    <w:rsid w:val="008E3065"/>
    <w:rsid w:val="008E38EC"/>
    <w:rsid w:val="008E5EEB"/>
    <w:rsid w:val="008E6536"/>
    <w:rsid w:val="008E673B"/>
    <w:rsid w:val="008E6C5B"/>
    <w:rsid w:val="008E7872"/>
    <w:rsid w:val="008E7A60"/>
    <w:rsid w:val="008F05BC"/>
    <w:rsid w:val="008F2D0D"/>
    <w:rsid w:val="008F3A78"/>
    <w:rsid w:val="008F49F3"/>
    <w:rsid w:val="008F4D4C"/>
    <w:rsid w:val="008F5FDB"/>
    <w:rsid w:val="008F71FA"/>
    <w:rsid w:val="008F7324"/>
    <w:rsid w:val="00900F54"/>
    <w:rsid w:val="00901DC5"/>
    <w:rsid w:val="00905D3B"/>
    <w:rsid w:val="0090657B"/>
    <w:rsid w:val="00907D67"/>
    <w:rsid w:val="00910364"/>
    <w:rsid w:val="009119E6"/>
    <w:rsid w:val="00912328"/>
    <w:rsid w:val="009130B8"/>
    <w:rsid w:val="0091381B"/>
    <w:rsid w:val="00913872"/>
    <w:rsid w:val="009138D0"/>
    <w:rsid w:val="00914911"/>
    <w:rsid w:val="009155B1"/>
    <w:rsid w:val="00916469"/>
    <w:rsid w:val="00916572"/>
    <w:rsid w:val="00917024"/>
    <w:rsid w:val="00917F33"/>
    <w:rsid w:val="009206B2"/>
    <w:rsid w:val="00921193"/>
    <w:rsid w:val="009215B8"/>
    <w:rsid w:val="00923954"/>
    <w:rsid w:val="009241AC"/>
    <w:rsid w:val="009250E5"/>
    <w:rsid w:val="0092518B"/>
    <w:rsid w:val="00925BB1"/>
    <w:rsid w:val="00926B68"/>
    <w:rsid w:val="00930273"/>
    <w:rsid w:val="009334C2"/>
    <w:rsid w:val="0093392C"/>
    <w:rsid w:val="00933DBB"/>
    <w:rsid w:val="00933E24"/>
    <w:rsid w:val="0093449D"/>
    <w:rsid w:val="0093455A"/>
    <w:rsid w:val="00934863"/>
    <w:rsid w:val="00934E4D"/>
    <w:rsid w:val="00934FCD"/>
    <w:rsid w:val="0093524C"/>
    <w:rsid w:val="009358C0"/>
    <w:rsid w:val="0093615D"/>
    <w:rsid w:val="009410EB"/>
    <w:rsid w:val="009422F5"/>
    <w:rsid w:val="009434B1"/>
    <w:rsid w:val="00944270"/>
    <w:rsid w:val="0094464D"/>
    <w:rsid w:val="009447F5"/>
    <w:rsid w:val="00944F9E"/>
    <w:rsid w:val="00945CFA"/>
    <w:rsid w:val="00945E37"/>
    <w:rsid w:val="00946452"/>
    <w:rsid w:val="00946F6A"/>
    <w:rsid w:val="009507DE"/>
    <w:rsid w:val="0095302D"/>
    <w:rsid w:val="009545EE"/>
    <w:rsid w:val="00955755"/>
    <w:rsid w:val="00956185"/>
    <w:rsid w:val="009569E8"/>
    <w:rsid w:val="00956ECA"/>
    <w:rsid w:val="00957056"/>
    <w:rsid w:val="009571B4"/>
    <w:rsid w:val="0096019A"/>
    <w:rsid w:val="00960C81"/>
    <w:rsid w:val="00960CAF"/>
    <w:rsid w:val="009610FC"/>
    <w:rsid w:val="009615C7"/>
    <w:rsid w:val="0096193C"/>
    <w:rsid w:val="009624AB"/>
    <w:rsid w:val="00962D87"/>
    <w:rsid w:val="00965DBD"/>
    <w:rsid w:val="0096645B"/>
    <w:rsid w:val="00966682"/>
    <w:rsid w:val="0096670E"/>
    <w:rsid w:val="00967C18"/>
    <w:rsid w:val="00970A1C"/>
    <w:rsid w:val="00970B50"/>
    <w:rsid w:val="00970F60"/>
    <w:rsid w:val="0097175F"/>
    <w:rsid w:val="009717A4"/>
    <w:rsid w:val="00971980"/>
    <w:rsid w:val="0097223E"/>
    <w:rsid w:val="0097431E"/>
    <w:rsid w:val="00974DFB"/>
    <w:rsid w:val="00975D79"/>
    <w:rsid w:val="00976EDA"/>
    <w:rsid w:val="00977CB3"/>
    <w:rsid w:val="0098041D"/>
    <w:rsid w:val="0098062B"/>
    <w:rsid w:val="00980C1D"/>
    <w:rsid w:val="00981A9A"/>
    <w:rsid w:val="009825F8"/>
    <w:rsid w:val="00982C6F"/>
    <w:rsid w:val="009830ED"/>
    <w:rsid w:val="00983CB6"/>
    <w:rsid w:val="00983E79"/>
    <w:rsid w:val="00985486"/>
    <w:rsid w:val="0098553F"/>
    <w:rsid w:val="0098594F"/>
    <w:rsid w:val="00986939"/>
    <w:rsid w:val="00990B95"/>
    <w:rsid w:val="00992042"/>
    <w:rsid w:val="009924F5"/>
    <w:rsid w:val="00993846"/>
    <w:rsid w:val="009939A7"/>
    <w:rsid w:val="00993BFA"/>
    <w:rsid w:val="009941F6"/>
    <w:rsid w:val="00995575"/>
    <w:rsid w:val="0099594A"/>
    <w:rsid w:val="00995977"/>
    <w:rsid w:val="00997736"/>
    <w:rsid w:val="00997ABE"/>
    <w:rsid w:val="009A02B5"/>
    <w:rsid w:val="009A0532"/>
    <w:rsid w:val="009A0AD2"/>
    <w:rsid w:val="009A0C65"/>
    <w:rsid w:val="009A23E5"/>
    <w:rsid w:val="009A298B"/>
    <w:rsid w:val="009A2B9F"/>
    <w:rsid w:val="009A318A"/>
    <w:rsid w:val="009A57BA"/>
    <w:rsid w:val="009A6034"/>
    <w:rsid w:val="009A6156"/>
    <w:rsid w:val="009A6929"/>
    <w:rsid w:val="009A6B5D"/>
    <w:rsid w:val="009A6CF5"/>
    <w:rsid w:val="009A79A4"/>
    <w:rsid w:val="009B17FE"/>
    <w:rsid w:val="009B1F34"/>
    <w:rsid w:val="009B2DD6"/>
    <w:rsid w:val="009B6C20"/>
    <w:rsid w:val="009B6C97"/>
    <w:rsid w:val="009B788C"/>
    <w:rsid w:val="009C07D7"/>
    <w:rsid w:val="009C0B1A"/>
    <w:rsid w:val="009C19DB"/>
    <w:rsid w:val="009C30B4"/>
    <w:rsid w:val="009C32B0"/>
    <w:rsid w:val="009C63C4"/>
    <w:rsid w:val="009C6619"/>
    <w:rsid w:val="009C7109"/>
    <w:rsid w:val="009C7127"/>
    <w:rsid w:val="009C7E19"/>
    <w:rsid w:val="009D07C9"/>
    <w:rsid w:val="009D10A1"/>
    <w:rsid w:val="009D4C1B"/>
    <w:rsid w:val="009D504F"/>
    <w:rsid w:val="009D5413"/>
    <w:rsid w:val="009D6B8F"/>
    <w:rsid w:val="009D6E84"/>
    <w:rsid w:val="009E07DA"/>
    <w:rsid w:val="009E0A23"/>
    <w:rsid w:val="009E23E7"/>
    <w:rsid w:val="009E310E"/>
    <w:rsid w:val="009E3B6C"/>
    <w:rsid w:val="009E6F1E"/>
    <w:rsid w:val="009F01D9"/>
    <w:rsid w:val="009F1353"/>
    <w:rsid w:val="009F166D"/>
    <w:rsid w:val="009F1856"/>
    <w:rsid w:val="009F23A3"/>
    <w:rsid w:val="009F2535"/>
    <w:rsid w:val="009F2755"/>
    <w:rsid w:val="009F2778"/>
    <w:rsid w:val="009F2B32"/>
    <w:rsid w:val="009F3478"/>
    <w:rsid w:val="009F3B35"/>
    <w:rsid w:val="009F5CD8"/>
    <w:rsid w:val="009F6EAE"/>
    <w:rsid w:val="009F7FFA"/>
    <w:rsid w:val="00A00BC5"/>
    <w:rsid w:val="00A03D05"/>
    <w:rsid w:val="00A04486"/>
    <w:rsid w:val="00A07906"/>
    <w:rsid w:val="00A10922"/>
    <w:rsid w:val="00A10ADC"/>
    <w:rsid w:val="00A10ECE"/>
    <w:rsid w:val="00A14BB9"/>
    <w:rsid w:val="00A15AED"/>
    <w:rsid w:val="00A162D6"/>
    <w:rsid w:val="00A168B5"/>
    <w:rsid w:val="00A16C22"/>
    <w:rsid w:val="00A237EC"/>
    <w:rsid w:val="00A23FE1"/>
    <w:rsid w:val="00A2443B"/>
    <w:rsid w:val="00A259A9"/>
    <w:rsid w:val="00A269B7"/>
    <w:rsid w:val="00A278F6"/>
    <w:rsid w:val="00A30ED9"/>
    <w:rsid w:val="00A31F1A"/>
    <w:rsid w:val="00A33175"/>
    <w:rsid w:val="00A34262"/>
    <w:rsid w:val="00A35A17"/>
    <w:rsid w:val="00A3724A"/>
    <w:rsid w:val="00A37354"/>
    <w:rsid w:val="00A37DBD"/>
    <w:rsid w:val="00A40308"/>
    <w:rsid w:val="00A40F47"/>
    <w:rsid w:val="00A4164A"/>
    <w:rsid w:val="00A42789"/>
    <w:rsid w:val="00A433DB"/>
    <w:rsid w:val="00A43849"/>
    <w:rsid w:val="00A43DBE"/>
    <w:rsid w:val="00A43E22"/>
    <w:rsid w:val="00A44CE8"/>
    <w:rsid w:val="00A44D02"/>
    <w:rsid w:val="00A452C2"/>
    <w:rsid w:val="00A46B5C"/>
    <w:rsid w:val="00A46FB8"/>
    <w:rsid w:val="00A47397"/>
    <w:rsid w:val="00A4798E"/>
    <w:rsid w:val="00A47AC7"/>
    <w:rsid w:val="00A47E24"/>
    <w:rsid w:val="00A50803"/>
    <w:rsid w:val="00A5194F"/>
    <w:rsid w:val="00A51AAF"/>
    <w:rsid w:val="00A5204B"/>
    <w:rsid w:val="00A5233D"/>
    <w:rsid w:val="00A52E25"/>
    <w:rsid w:val="00A53296"/>
    <w:rsid w:val="00A536AE"/>
    <w:rsid w:val="00A54228"/>
    <w:rsid w:val="00A56D6D"/>
    <w:rsid w:val="00A56FA9"/>
    <w:rsid w:val="00A570A0"/>
    <w:rsid w:val="00A57CA6"/>
    <w:rsid w:val="00A6079A"/>
    <w:rsid w:val="00A61DAB"/>
    <w:rsid w:val="00A620F9"/>
    <w:rsid w:val="00A628C4"/>
    <w:rsid w:val="00A63422"/>
    <w:rsid w:val="00A64259"/>
    <w:rsid w:val="00A66D65"/>
    <w:rsid w:val="00A67788"/>
    <w:rsid w:val="00A729CE"/>
    <w:rsid w:val="00A72DDE"/>
    <w:rsid w:val="00A733AC"/>
    <w:rsid w:val="00A743D6"/>
    <w:rsid w:val="00A74418"/>
    <w:rsid w:val="00A74996"/>
    <w:rsid w:val="00A74C83"/>
    <w:rsid w:val="00A74CE8"/>
    <w:rsid w:val="00A75E40"/>
    <w:rsid w:val="00A76DB4"/>
    <w:rsid w:val="00A77543"/>
    <w:rsid w:val="00A808E9"/>
    <w:rsid w:val="00A80923"/>
    <w:rsid w:val="00A812B4"/>
    <w:rsid w:val="00A81A82"/>
    <w:rsid w:val="00A8227F"/>
    <w:rsid w:val="00A8306A"/>
    <w:rsid w:val="00A830B6"/>
    <w:rsid w:val="00A83119"/>
    <w:rsid w:val="00A837A4"/>
    <w:rsid w:val="00A83BD2"/>
    <w:rsid w:val="00A83EF1"/>
    <w:rsid w:val="00A8548D"/>
    <w:rsid w:val="00A87A9D"/>
    <w:rsid w:val="00A90FC4"/>
    <w:rsid w:val="00A91439"/>
    <w:rsid w:val="00A91CB9"/>
    <w:rsid w:val="00A92A46"/>
    <w:rsid w:val="00A92DC9"/>
    <w:rsid w:val="00A93711"/>
    <w:rsid w:val="00A94617"/>
    <w:rsid w:val="00A94781"/>
    <w:rsid w:val="00A94B38"/>
    <w:rsid w:val="00A95009"/>
    <w:rsid w:val="00A95A58"/>
    <w:rsid w:val="00A9747D"/>
    <w:rsid w:val="00A97C73"/>
    <w:rsid w:val="00AA1E05"/>
    <w:rsid w:val="00AA2AEA"/>
    <w:rsid w:val="00AA3CCD"/>
    <w:rsid w:val="00AA5F50"/>
    <w:rsid w:val="00AA61E3"/>
    <w:rsid w:val="00AA670C"/>
    <w:rsid w:val="00AB018D"/>
    <w:rsid w:val="00AB1844"/>
    <w:rsid w:val="00AB32BE"/>
    <w:rsid w:val="00AB37E7"/>
    <w:rsid w:val="00AB4B49"/>
    <w:rsid w:val="00AB4D54"/>
    <w:rsid w:val="00AB6461"/>
    <w:rsid w:val="00AB65FF"/>
    <w:rsid w:val="00AC05B0"/>
    <w:rsid w:val="00AC065A"/>
    <w:rsid w:val="00AC1CFB"/>
    <w:rsid w:val="00AC39DE"/>
    <w:rsid w:val="00AC4D85"/>
    <w:rsid w:val="00AC5977"/>
    <w:rsid w:val="00AD081D"/>
    <w:rsid w:val="00AD103A"/>
    <w:rsid w:val="00AD1351"/>
    <w:rsid w:val="00AD1941"/>
    <w:rsid w:val="00AD1C31"/>
    <w:rsid w:val="00AD28E1"/>
    <w:rsid w:val="00AD3322"/>
    <w:rsid w:val="00AD3CDA"/>
    <w:rsid w:val="00AD6564"/>
    <w:rsid w:val="00AD773D"/>
    <w:rsid w:val="00AE016B"/>
    <w:rsid w:val="00AE0648"/>
    <w:rsid w:val="00AE0FEA"/>
    <w:rsid w:val="00AE1959"/>
    <w:rsid w:val="00AE2354"/>
    <w:rsid w:val="00AE282B"/>
    <w:rsid w:val="00AE3DC0"/>
    <w:rsid w:val="00AE5761"/>
    <w:rsid w:val="00AE5A57"/>
    <w:rsid w:val="00AE66DB"/>
    <w:rsid w:val="00AF0489"/>
    <w:rsid w:val="00AF06D5"/>
    <w:rsid w:val="00AF1207"/>
    <w:rsid w:val="00AF1B5C"/>
    <w:rsid w:val="00AF1BD4"/>
    <w:rsid w:val="00AF1CEF"/>
    <w:rsid w:val="00AF32B0"/>
    <w:rsid w:val="00AF436E"/>
    <w:rsid w:val="00AF4581"/>
    <w:rsid w:val="00AF647E"/>
    <w:rsid w:val="00AF6511"/>
    <w:rsid w:val="00AF660D"/>
    <w:rsid w:val="00AF6B16"/>
    <w:rsid w:val="00AF7070"/>
    <w:rsid w:val="00AF7592"/>
    <w:rsid w:val="00AF7D33"/>
    <w:rsid w:val="00B002B3"/>
    <w:rsid w:val="00B01514"/>
    <w:rsid w:val="00B02657"/>
    <w:rsid w:val="00B0383C"/>
    <w:rsid w:val="00B04038"/>
    <w:rsid w:val="00B0468C"/>
    <w:rsid w:val="00B07A5A"/>
    <w:rsid w:val="00B07C36"/>
    <w:rsid w:val="00B07CA7"/>
    <w:rsid w:val="00B10F1F"/>
    <w:rsid w:val="00B1142A"/>
    <w:rsid w:val="00B12ED0"/>
    <w:rsid w:val="00B138DD"/>
    <w:rsid w:val="00B13951"/>
    <w:rsid w:val="00B13BAC"/>
    <w:rsid w:val="00B143BC"/>
    <w:rsid w:val="00B1440D"/>
    <w:rsid w:val="00B145CA"/>
    <w:rsid w:val="00B16985"/>
    <w:rsid w:val="00B16ACC"/>
    <w:rsid w:val="00B172E2"/>
    <w:rsid w:val="00B1754A"/>
    <w:rsid w:val="00B17613"/>
    <w:rsid w:val="00B17A6F"/>
    <w:rsid w:val="00B17E13"/>
    <w:rsid w:val="00B207AE"/>
    <w:rsid w:val="00B20C1A"/>
    <w:rsid w:val="00B21C75"/>
    <w:rsid w:val="00B22E02"/>
    <w:rsid w:val="00B23140"/>
    <w:rsid w:val="00B232ED"/>
    <w:rsid w:val="00B23353"/>
    <w:rsid w:val="00B23D54"/>
    <w:rsid w:val="00B242FC"/>
    <w:rsid w:val="00B24515"/>
    <w:rsid w:val="00B249FE"/>
    <w:rsid w:val="00B255E6"/>
    <w:rsid w:val="00B26DC8"/>
    <w:rsid w:val="00B30565"/>
    <w:rsid w:val="00B3101E"/>
    <w:rsid w:val="00B320E1"/>
    <w:rsid w:val="00B32CFD"/>
    <w:rsid w:val="00B3475B"/>
    <w:rsid w:val="00B34875"/>
    <w:rsid w:val="00B35235"/>
    <w:rsid w:val="00B354B0"/>
    <w:rsid w:val="00B356BE"/>
    <w:rsid w:val="00B35B00"/>
    <w:rsid w:val="00B35B91"/>
    <w:rsid w:val="00B35E3E"/>
    <w:rsid w:val="00B3664E"/>
    <w:rsid w:val="00B36DE0"/>
    <w:rsid w:val="00B377ED"/>
    <w:rsid w:val="00B37F42"/>
    <w:rsid w:val="00B40399"/>
    <w:rsid w:val="00B4119E"/>
    <w:rsid w:val="00B425E2"/>
    <w:rsid w:val="00B433C9"/>
    <w:rsid w:val="00B43BC3"/>
    <w:rsid w:val="00B44196"/>
    <w:rsid w:val="00B44669"/>
    <w:rsid w:val="00B449B1"/>
    <w:rsid w:val="00B44E39"/>
    <w:rsid w:val="00B4503D"/>
    <w:rsid w:val="00B464DA"/>
    <w:rsid w:val="00B46A77"/>
    <w:rsid w:val="00B47FEF"/>
    <w:rsid w:val="00B52C6E"/>
    <w:rsid w:val="00B53121"/>
    <w:rsid w:val="00B532D9"/>
    <w:rsid w:val="00B53655"/>
    <w:rsid w:val="00B53C41"/>
    <w:rsid w:val="00B53CC3"/>
    <w:rsid w:val="00B55082"/>
    <w:rsid w:val="00B5538F"/>
    <w:rsid w:val="00B56B7D"/>
    <w:rsid w:val="00B615DF"/>
    <w:rsid w:val="00B6330B"/>
    <w:rsid w:val="00B63731"/>
    <w:rsid w:val="00B63828"/>
    <w:rsid w:val="00B63A53"/>
    <w:rsid w:val="00B644DB"/>
    <w:rsid w:val="00B645C0"/>
    <w:rsid w:val="00B64F24"/>
    <w:rsid w:val="00B6527B"/>
    <w:rsid w:val="00B67B53"/>
    <w:rsid w:val="00B67BA4"/>
    <w:rsid w:val="00B70266"/>
    <w:rsid w:val="00B70AF0"/>
    <w:rsid w:val="00B70D03"/>
    <w:rsid w:val="00B712B9"/>
    <w:rsid w:val="00B73AA4"/>
    <w:rsid w:val="00B748F3"/>
    <w:rsid w:val="00B74AEF"/>
    <w:rsid w:val="00B74EC0"/>
    <w:rsid w:val="00B753A1"/>
    <w:rsid w:val="00B75992"/>
    <w:rsid w:val="00B75ECE"/>
    <w:rsid w:val="00B7713F"/>
    <w:rsid w:val="00B77384"/>
    <w:rsid w:val="00B77546"/>
    <w:rsid w:val="00B77D4B"/>
    <w:rsid w:val="00B80842"/>
    <w:rsid w:val="00B80CC2"/>
    <w:rsid w:val="00B81483"/>
    <w:rsid w:val="00B82342"/>
    <w:rsid w:val="00B83D8C"/>
    <w:rsid w:val="00B849A6"/>
    <w:rsid w:val="00B86A38"/>
    <w:rsid w:val="00B86D8A"/>
    <w:rsid w:val="00B870E5"/>
    <w:rsid w:val="00B90888"/>
    <w:rsid w:val="00B91AE5"/>
    <w:rsid w:val="00B92855"/>
    <w:rsid w:val="00B9365E"/>
    <w:rsid w:val="00B9377C"/>
    <w:rsid w:val="00B93B85"/>
    <w:rsid w:val="00B968DF"/>
    <w:rsid w:val="00B969C0"/>
    <w:rsid w:val="00B97C1B"/>
    <w:rsid w:val="00BA1218"/>
    <w:rsid w:val="00BA1DCB"/>
    <w:rsid w:val="00BA24E7"/>
    <w:rsid w:val="00BA2BFB"/>
    <w:rsid w:val="00BA2E51"/>
    <w:rsid w:val="00BA32BC"/>
    <w:rsid w:val="00BA4DE3"/>
    <w:rsid w:val="00BA5654"/>
    <w:rsid w:val="00BA6675"/>
    <w:rsid w:val="00BA76E4"/>
    <w:rsid w:val="00BA778C"/>
    <w:rsid w:val="00BA79F9"/>
    <w:rsid w:val="00BA7D3A"/>
    <w:rsid w:val="00BB1766"/>
    <w:rsid w:val="00BB32D7"/>
    <w:rsid w:val="00BB4DE0"/>
    <w:rsid w:val="00BB5DB7"/>
    <w:rsid w:val="00BB750C"/>
    <w:rsid w:val="00BB769D"/>
    <w:rsid w:val="00BB7ABA"/>
    <w:rsid w:val="00BB7AC7"/>
    <w:rsid w:val="00BC000F"/>
    <w:rsid w:val="00BC00BF"/>
    <w:rsid w:val="00BC05A7"/>
    <w:rsid w:val="00BC0D6F"/>
    <w:rsid w:val="00BC179C"/>
    <w:rsid w:val="00BC18A9"/>
    <w:rsid w:val="00BC379D"/>
    <w:rsid w:val="00BC3CCC"/>
    <w:rsid w:val="00BC42A6"/>
    <w:rsid w:val="00BC5F04"/>
    <w:rsid w:val="00BC61B4"/>
    <w:rsid w:val="00BC7370"/>
    <w:rsid w:val="00BD2189"/>
    <w:rsid w:val="00BD2569"/>
    <w:rsid w:val="00BD2F10"/>
    <w:rsid w:val="00BD38EB"/>
    <w:rsid w:val="00BD395A"/>
    <w:rsid w:val="00BD5226"/>
    <w:rsid w:val="00BD58E0"/>
    <w:rsid w:val="00BD7391"/>
    <w:rsid w:val="00BD7C6F"/>
    <w:rsid w:val="00BE025E"/>
    <w:rsid w:val="00BE172A"/>
    <w:rsid w:val="00BE1801"/>
    <w:rsid w:val="00BE2858"/>
    <w:rsid w:val="00BE2BD4"/>
    <w:rsid w:val="00BE2CAF"/>
    <w:rsid w:val="00BE399A"/>
    <w:rsid w:val="00BE6077"/>
    <w:rsid w:val="00BE7975"/>
    <w:rsid w:val="00BE7E48"/>
    <w:rsid w:val="00BF047B"/>
    <w:rsid w:val="00BF0B45"/>
    <w:rsid w:val="00BF121F"/>
    <w:rsid w:val="00BF2D07"/>
    <w:rsid w:val="00BF3E96"/>
    <w:rsid w:val="00BF47EA"/>
    <w:rsid w:val="00BF488A"/>
    <w:rsid w:val="00BF4CF1"/>
    <w:rsid w:val="00BF76D3"/>
    <w:rsid w:val="00BF7C9E"/>
    <w:rsid w:val="00C01A8C"/>
    <w:rsid w:val="00C02807"/>
    <w:rsid w:val="00C04C17"/>
    <w:rsid w:val="00C0665E"/>
    <w:rsid w:val="00C06E89"/>
    <w:rsid w:val="00C07AAA"/>
    <w:rsid w:val="00C10134"/>
    <w:rsid w:val="00C11E3A"/>
    <w:rsid w:val="00C135DC"/>
    <w:rsid w:val="00C13D4C"/>
    <w:rsid w:val="00C13DDA"/>
    <w:rsid w:val="00C158A3"/>
    <w:rsid w:val="00C158B1"/>
    <w:rsid w:val="00C15DA0"/>
    <w:rsid w:val="00C15DDF"/>
    <w:rsid w:val="00C170E3"/>
    <w:rsid w:val="00C17B54"/>
    <w:rsid w:val="00C20407"/>
    <w:rsid w:val="00C2061B"/>
    <w:rsid w:val="00C2291E"/>
    <w:rsid w:val="00C2498C"/>
    <w:rsid w:val="00C24A5F"/>
    <w:rsid w:val="00C2527F"/>
    <w:rsid w:val="00C26C29"/>
    <w:rsid w:val="00C26EC2"/>
    <w:rsid w:val="00C27729"/>
    <w:rsid w:val="00C3129C"/>
    <w:rsid w:val="00C31784"/>
    <w:rsid w:val="00C322E0"/>
    <w:rsid w:val="00C341FB"/>
    <w:rsid w:val="00C36C67"/>
    <w:rsid w:val="00C373AD"/>
    <w:rsid w:val="00C37BA3"/>
    <w:rsid w:val="00C41120"/>
    <w:rsid w:val="00C42DDF"/>
    <w:rsid w:val="00C43E99"/>
    <w:rsid w:val="00C445DD"/>
    <w:rsid w:val="00C4462B"/>
    <w:rsid w:val="00C4667E"/>
    <w:rsid w:val="00C47009"/>
    <w:rsid w:val="00C474FB"/>
    <w:rsid w:val="00C479D5"/>
    <w:rsid w:val="00C50E20"/>
    <w:rsid w:val="00C5126A"/>
    <w:rsid w:val="00C527EF"/>
    <w:rsid w:val="00C544ED"/>
    <w:rsid w:val="00C57885"/>
    <w:rsid w:val="00C57EB5"/>
    <w:rsid w:val="00C61070"/>
    <w:rsid w:val="00C6122D"/>
    <w:rsid w:val="00C61AD0"/>
    <w:rsid w:val="00C627F4"/>
    <w:rsid w:val="00C63215"/>
    <w:rsid w:val="00C660A8"/>
    <w:rsid w:val="00C664EC"/>
    <w:rsid w:val="00C666A8"/>
    <w:rsid w:val="00C6779C"/>
    <w:rsid w:val="00C67C58"/>
    <w:rsid w:val="00C70001"/>
    <w:rsid w:val="00C70388"/>
    <w:rsid w:val="00C706D4"/>
    <w:rsid w:val="00C70756"/>
    <w:rsid w:val="00C718BA"/>
    <w:rsid w:val="00C71D6F"/>
    <w:rsid w:val="00C71E02"/>
    <w:rsid w:val="00C72854"/>
    <w:rsid w:val="00C739ED"/>
    <w:rsid w:val="00C744F0"/>
    <w:rsid w:val="00C7452E"/>
    <w:rsid w:val="00C749A3"/>
    <w:rsid w:val="00C75376"/>
    <w:rsid w:val="00C75D9B"/>
    <w:rsid w:val="00C76615"/>
    <w:rsid w:val="00C766F1"/>
    <w:rsid w:val="00C76929"/>
    <w:rsid w:val="00C76B4A"/>
    <w:rsid w:val="00C77B06"/>
    <w:rsid w:val="00C8088E"/>
    <w:rsid w:val="00C80F56"/>
    <w:rsid w:val="00C822F2"/>
    <w:rsid w:val="00C82B9C"/>
    <w:rsid w:val="00C83033"/>
    <w:rsid w:val="00C83DBC"/>
    <w:rsid w:val="00C8645F"/>
    <w:rsid w:val="00C8723F"/>
    <w:rsid w:val="00C87843"/>
    <w:rsid w:val="00C87933"/>
    <w:rsid w:val="00C92486"/>
    <w:rsid w:val="00C92E1E"/>
    <w:rsid w:val="00C932EF"/>
    <w:rsid w:val="00C93779"/>
    <w:rsid w:val="00C93B28"/>
    <w:rsid w:val="00C962C1"/>
    <w:rsid w:val="00C96564"/>
    <w:rsid w:val="00C96B2F"/>
    <w:rsid w:val="00C975E5"/>
    <w:rsid w:val="00C978C9"/>
    <w:rsid w:val="00C9797C"/>
    <w:rsid w:val="00C97F71"/>
    <w:rsid w:val="00CA00F8"/>
    <w:rsid w:val="00CA021F"/>
    <w:rsid w:val="00CA0A0E"/>
    <w:rsid w:val="00CA1D13"/>
    <w:rsid w:val="00CA24FC"/>
    <w:rsid w:val="00CA2EBA"/>
    <w:rsid w:val="00CA4028"/>
    <w:rsid w:val="00CA4100"/>
    <w:rsid w:val="00CA7289"/>
    <w:rsid w:val="00CA7B16"/>
    <w:rsid w:val="00CB098E"/>
    <w:rsid w:val="00CB0AB0"/>
    <w:rsid w:val="00CB2E11"/>
    <w:rsid w:val="00CB5EDA"/>
    <w:rsid w:val="00CB6091"/>
    <w:rsid w:val="00CB6B69"/>
    <w:rsid w:val="00CB75FD"/>
    <w:rsid w:val="00CC0467"/>
    <w:rsid w:val="00CC1283"/>
    <w:rsid w:val="00CC1591"/>
    <w:rsid w:val="00CC1895"/>
    <w:rsid w:val="00CC1E90"/>
    <w:rsid w:val="00CC1FAC"/>
    <w:rsid w:val="00CC2312"/>
    <w:rsid w:val="00CC244C"/>
    <w:rsid w:val="00CC27AD"/>
    <w:rsid w:val="00CC2BF3"/>
    <w:rsid w:val="00CC2C46"/>
    <w:rsid w:val="00CC3E44"/>
    <w:rsid w:val="00CC4453"/>
    <w:rsid w:val="00CC4795"/>
    <w:rsid w:val="00CC7DDD"/>
    <w:rsid w:val="00CC7E5F"/>
    <w:rsid w:val="00CD00E2"/>
    <w:rsid w:val="00CD097B"/>
    <w:rsid w:val="00CD0FA6"/>
    <w:rsid w:val="00CD109F"/>
    <w:rsid w:val="00CD146C"/>
    <w:rsid w:val="00CD26A9"/>
    <w:rsid w:val="00CD2A5A"/>
    <w:rsid w:val="00CD345C"/>
    <w:rsid w:val="00CD39E4"/>
    <w:rsid w:val="00CD3FE2"/>
    <w:rsid w:val="00CD5FD9"/>
    <w:rsid w:val="00CD6354"/>
    <w:rsid w:val="00CD773B"/>
    <w:rsid w:val="00CD7758"/>
    <w:rsid w:val="00CE08C1"/>
    <w:rsid w:val="00CE36E2"/>
    <w:rsid w:val="00CE444B"/>
    <w:rsid w:val="00CE5155"/>
    <w:rsid w:val="00CE520F"/>
    <w:rsid w:val="00CE5A00"/>
    <w:rsid w:val="00CE5FD7"/>
    <w:rsid w:val="00CE62B2"/>
    <w:rsid w:val="00CE7674"/>
    <w:rsid w:val="00CF014F"/>
    <w:rsid w:val="00CF123A"/>
    <w:rsid w:val="00CF1549"/>
    <w:rsid w:val="00CF33AF"/>
    <w:rsid w:val="00CF446A"/>
    <w:rsid w:val="00CF5A40"/>
    <w:rsid w:val="00CF5FE3"/>
    <w:rsid w:val="00CF6752"/>
    <w:rsid w:val="00CF6983"/>
    <w:rsid w:val="00D00A01"/>
    <w:rsid w:val="00D01056"/>
    <w:rsid w:val="00D016C7"/>
    <w:rsid w:val="00D01948"/>
    <w:rsid w:val="00D01960"/>
    <w:rsid w:val="00D019B4"/>
    <w:rsid w:val="00D02782"/>
    <w:rsid w:val="00D028B0"/>
    <w:rsid w:val="00D0406F"/>
    <w:rsid w:val="00D0536F"/>
    <w:rsid w:val="00D0538A"/>
    <w:rsid w:val="00D05838"/>
    <w:rsid w:val="00D060AB"/>
    <w:rsid w:val="00D0657B"/>
    <w:rsid w:val="00D0791E"/>
    <w:rsid w:val="00D10582"/>
    <w:rsid w:val="00D1270D"/>
    <w:rsid w:val="00D136A4"/>
    <w:rsid w:val="00D13C8E"/>
    <w:rsid w:val="00D1585F"/>
    <w:rsid w:val="00D15BE7"/>
    <w:rsid w:val="00D168B7"/>
    <w:rsid w:val="00D16D0A"/>
    <w:rsid w:val="00D20349"/>
    <w:rsid w:val="00D21A7B"/>
    <w:rsid w:val="00D21E70"/>
    <w:rsid w:val="00D21E84"/>
    <w:rsid w:val="00D2259F"/>
    <w:rsid w:val="00D226C0"/>
    <w:rsid w:val="00D227C3"/>
    <w:rsid w:val="00D2442A"/>
    <w:rsid w:val="00D24F5D"/>
    <w:rsid w:val="00D25461"/>
    <w:rsid w:val="00D26BA5"/>
    <w:rsid w:val="00D274EE"/>
    <w:rsid w:val="00D27D44"/>
    <w:rsid w:val="00D3228E"/>
    <w:rsid w:val="00D33FF1"/>
    <w:rsid w:val="00D357D9"/>
    <w:rsid w:val="00D361A7"/>
    <w:rsid w:val="00D37C5F"/>
    <w:rsid w:val="00D4004F"/>
    <w:rsid w:val="00D409FC"/>
    <w:rsid w:val="00D40C24"/>
    <w:rsid w:val="00D41B9D"/>
    <w:rsid w:val="00D423A7"/>
    <w:rsid w:val="00D4246C"/>
    <w:rsid w:val="00D4325A"/>
    <w:rsid w:val="00D439B7"/>
    <w:rsid w:val="00D453A5"/>
    <w:rsid w:val="00D45B78"/>
    <w:rsid w:val="00D47734"/>
    <w:rsid w:val="00D47E0B"/>
    <w:rsid w:val="00D506D3"/>
    <w:rsid w:val="00D506FF"/>
    <w:rsid w:val="00D515E7"/>
    <w:rsid w:val="00D51F3B"/>
    <w:rsid w:val="00D520D0"/>
    <w:rsid w:val="00D5418A"/>
    <w:rsid w:val="00D5445D"/>
    <w:rsid w:val="00D54E0E"/>
    <w:rsid w:val="00D55C87"/>
    <w:rsid w:val="00D55EB8"/>
    <w:rsid w:val="00D5750A"/>
    <w:rsid w:val="00D57826"/>
    <w:rsid w:val="00D6264F"/>
    <w:rsid w:val="00D6355A"/>
    <w:rsid w:val="00D637BC"/>
    <w:rsid w:val="00D6462E"/>
    <w:rsid w:val="00D646C8"/>
    <w:rsid w:val="00D67D06"/>
    <w:rsid w:val="00D70EE3"/>
    <w:rsid w:val="00D71CCD"/>
    <w:rsid w:val="00D71D0D"/>
    <w:rsid w:val="00D7201C"/>
    <w:rsid w:val="00D738E3"/>
    <w:rsid w:val="00D742A3"/>
    <w:rsid w:val="00D746FD"/>
    <w:rsid w:val="00D76136"/>
    <w:rsid w:val="00D76322"/>
    <w:rsid w:val="00D77007"/>
    <w:rsid w:val="00D773B1"/>
    <w:rsid w:val="00D777B8"/>
    <w:rsid w:val="00D800AC"/>
    <w:rsid w:val="00D817F3"/>
    <w:rsid w:val="00D82576"/>
    <w:rsid w:val="00D8257A"/>
    <w:rsid w:val="00D82E0B"/>
    <w:rsid w:val="00D85159"/>
    <w:rsid w:val="00D8688A"/>
    <w:rsid w:val="00D90564"/>
    <w:rsid w:val="00D92147"/>
    <w:rsid w:val="00D93115"/>
    <w:rsid w:val="00D93238"/>
    <w:rsid w:val="00D94064"/>
    <w:rsid w:val="00D94D8F"/>
    <w:rsid w:val="00D96053"/>
    <w:rsid w:val="00D961D5"/>
    <w:rsid w:val="00D9732C"/>
    <w:rsid w:val="00DA0B63"/>
    <w:rsid w:val="00DA13CF"/>
    <w:rsid w:val="00DA169F"/>
    <w:rsid w:val="00DA17BA"/>
    <w:rsid w:val="00DA20FB"/>
    <w:rsid w:val="00DA282E"/>
    <w:rsid w:val="00DA3C94"/>
    <w:rsid w:val="00DA4EF2"/>
    <w:rsid w:val="00DA53C6"/>
    <w:rsid w:val="00DA53E8"/>
    <w:rsid w:val="00DA6BE0"/>
    <w:rsid w:val="00DA71B1"/>
    <w:rsid w:val="00DB08A6"/>
    <w:rsid w:val="00DB1058"/>
    <w:rsid w:val="00DB264C"/>
    <w:rsid w:val="00DB2784"/>
    <w:rsid w:val="00DB37B6"/>
    <w:rsid w:val="00DB4F7C"/>
    <w:rsid w:val="00DB6C41"/>
    <w:rsid w:val="00DC084E"/>
    <w:rsid w:val="00DC0E86"/>
    <w:rsid w:val="00DC146A"/>
    <w:rsid w:val="00DC18E2"/>
    <w:rsid w:val="00DC39F3"/>
    <w:rsid w:val="00DC4477"/>
    <w:rsid w:val="00DC45AB"/>
    <w:rsid w:val="00DC4930"/>
    <w:rsid w:val="00DC6B33"/>
    <w:rsid w:val="00DC7019"/>
    <w:rsid w:val="00DC7ADA"/>
    <w:rsid w:val="00DD0E95"/>
    <w:rsid w:val="00DD37CA"/>
    <w:rsid w:val="00DD3D92"/>
    <w:rsid w:val="00DD4522"/>
    <w:rsid w:val="00DD5AE2"/>
    <w:rsid w:val="00DD62A1"/>
    <w:rsid w:val="00DD6760"/>
    <w:rsid w:val="00DD72BE"/>
    <w:rsid w:val="00DD72FB"/>
    <w:rsid w:val="00DE0F2E"/>
    <w:rsid w:val="00DE1263"/>
    <w:rsid w:val="00DE431B"/>
    <w:rsid w:val="00DE5085"/>
    <w:rsid w:val="00DE5365"/>
    <w:rsid w:val="00DE6C0D"/>
    <w:rsid w:val="00DE712C"/>
    <w:rsid w:val="00DE719C"/>
    <w:rsid w:val="00DE7A9D"/>
    <w:rsid w:val="00DE7E81"/>
    <w:rsid w:val="00DF0F54"/>
    <w:rsid w:val="00DF20FA"/>
    <w:rsid w:val="00DF52EF"/>
    <w:rsid w:val="00DF70C3"/>
    <w:rsid w:val="00DF774A"/>
    <w:rsid w:val="00E000F8"/>
    <w:rsid w:val="00E01378"/>
    <w:rsid w:val="00E01AF5"/>
    <w:rsid w:val="00E04367"/>
    <w:rsid w:val="00E07233"/>
    <w:rsid w:val="00E073A7"/>
    <w:rsid w:val="00E10274"/>
    <w:rsid w:val="00E133DF"/>
    <w:rsid w:val="00E14BAD"/>
    <w:rsid w:val="00E15B51"/>
    <w:rsid w:val="00E15DF1"/>
    <w:rsid w:val="00E15F3E"/>
    <w:rsid w:val="00E16EB7"/>
    <w:rsid w:val="00E17E2F"/>
    <w:rsid w:val="00E17E34"/>
    <w:rsid w:val="00E22080"/>
    <w:rsid w:val="00E23B8B"/>
    <w:rsid w:val="00E23C4A"/>
    <w:rsid w:val="00E251F2"/>
    <w:rsid w:val="00E26099"/>
    <w:rsid w:val="00E263E9"/>
    <w:rsid w:val="00E269BA"/>
    <w:rsid w:val="00E26F40"/>
    <w:rsid w:val="00E30000"/>
    <w:rsid w:val="00E30E1E"/>
    <w:rsid w:val="00E31960"/>
    <w:rsid w:val="00E32C11"/>
    <w:rsid w:val="00E348E8"/>
    <w:rsid w:val="00E3521B"/>
    <w:rsid w:val="00E36CE0"/>
    <w:rsid w:val="00E36EE5"/>
    <w:rsid w:val="00E377EF"/>
    <w:rsid w:val="00E37D85"/>
    <w:rsid w:val="00E400BA"/>
    <w:rsid w:val="00E42545"/>
    <w:rsid w:val="00E426C0"/>
    <w:rsid w:val="00E42840"/>
    <w:rsid w:val="00E435A8"/>
    <w:rsid w:val="00E450D6"/>
    <w:rsid w:val="00E4606C"/>
    <w:rsid w:val="00E46EF2"/>
    <w:rsid w:val="00E47CA5"/>
    <w:rsid w:val="00E5183F"/>
    <w:rsid w:val="00E51BA3"/>
    <w:rsid w:val="00E52335"/>
    <w:rsid w:val="00E53162"/>
    <w:rsid w:val="00E540EF"/>
    <w:rsid w:val="00E5451A"/>
    <w:rsid w:val="00E558B2"/>
    <w:rsid w:val="00E605DE"/>
    <w:rsid w:val="00E60E0C"/>
    <w:rsid w:val="00E6157C"/>
    <w:rsid w:val="00E61EA1"/>
    <w:rsid w:val="00E622E5"/>
    <w:rsid w:val="00E639E5"/>
    <w:rsid w:val="00E63C12"/>
    <w:rsid w:val="00E63C1C"/>
    <w:rsid w:val="00E63F73"/>
    <w:rsid w:val="00E65DB8"/>
    <w:rsid w:val="00E66010"/>
    <w:rsid w:val="00E66732"/>
    <w:rsid w:val="00E67DEA"/>
    <w:rsid w:val="00E70679"/>
    <w:rsid w:val="00E70CEF"/>
    <w:rsid w:val="00E71FF8"/>
    <w:rsid w:val="00E72E03"/>
    <w:rsid w:val="00E73002"/>
    <w:rsid w:val="00E738C4"/>
    <w:rsid w:val="00E74290"/>
    <w:rsid w:val="00E7497C"/>
    <w:rsid w:val="00E75D71"/>
    <w:rsid w:val="00E770A9"/>
    <w:rsid w:val="00E7789C"/>
    <w:rsid w:val="00E77913"/>
    <w:rsid w:val="00E77A4E"/>
    <w:rsid w:val="00E80E56"/>
    <w:rsid w:val="00E82326"/>
    <w:rsid w:val="00E826D8"/>
    <w:rsid w:val="00E829D6"/>
    <w:rsid w:val="00E8448B"/>
    <w:rsid w:val="00E85BE2"/>
    <w:rsid w:val="00E86AAB"/>
    <w:rsid w:val="00E86BED"/>
    <w:rsid w:val="00E87F01"/>
    <w:rsid w:val="00E9017D"/>
    <w:rsid w:val="00E91460"/>
    <w:rsid w:val="00E91BBA"/>
    <w:rsid w:val="00E95B0D"/>
    <w:rsid w:val="00E96A0D"/>
    <w:rsid w:val="00E97881"/>
    <w:rsid w:val="00E97CB0"/>
    <w:rsid w:val="00EA112B"/>
    <w:rsid w:val="00EA1DD2"/>
    <w:rsid w:val="00EA2361"/>
    <w:rsid w:val="00EA3390"/>
    <w:rsid w:val="00EA33CA"/>
    <w:rsid w:val="00EA4D08"/>
    <w:rsid w:val="00EA671A"/>
    <w:rsid w:val="00EA6BBF"/>
    <w:rsid w:val="00EA7386"/>
    <w:rsid w:val="00EA7FCB"/>
    <w:rsid w:val="00EB2726"/>
    <w:rsid w:val="00EB3A4D"/>
    <w:rsid w:val="00EB4835"/>
    <w:rsid w:val="00EB700F"/>
    <w:rsid w:val="00EB70A6"/>
    <w:rsid w:val="00EC024E"/>
    <w:rsid w:val="00EC12EA"/>
    <w:rsid w:val="00EC1581"/>
    <w:rsid w:val="00EC1D26"/>
    <w:rsid w:val="00EC1FB4"/>
    <w:rsid w:val="00EC2ACB"/>
    <w:rsid w:val="00EC5092"/>
    <w:rsid w:val="00EC55A7"/>
    <w:rsid w:val="00EC592E"/>
    <w:rsid w:val="00EC5B26"/>
    <w:rsid w:val="00EC7B75"/>
    <w:rsid w:val="00ED0361"/>
    <w:rsid w:val="00ED0B7F"/>
    <w:rsid w:val="00ED267E"/>
    <w:rsid w:val="00ED3D82"/>
    <w:rsid w:val="00ED44A1"/>
    <w:rsid w:val="00ED6DE1"/>
    <w:rsid w:val="00ED74C2"/>
    <w:rsid w:val="00ED7866"/>
    <w:rsid w:val="00EE0633"/>
    <w:rsid w:val="00EE12E0"/>
    <w:rsid w:val="00EE20C3"/>
    <w:rsid w:val="00EE21C5"/>
    <w:rsid w:val="00EE22D9"/>
    <w:rsid w:val="00EE22F1"/>
    <w:rsid w:val="00EE2A3C"/>
    <w:rsid w:val="00EE2C83"/>
    <w:rsid w:val="00EE32E0"/>
    <w:rsid w:val="00EE37AE"/>
    <w:rsid w:val="00EE3B54"/>
    <w:rsid w:val="00EE5109"/>
    <w:rsid w:val="00EE5EF0"/>
    <w:rsid w:val="00EF0799"/>
    <w:rsid w:val="00EF1E8A"/>
    <w:rsid w:val="00EF20E5"/>
    <w:rsid w:val="00EF2161"/>
    <w:rsid w:val="00EF361F"/>
    <w:rsid w:val="00EF3CFA"/>
    <w:rsid w:val="00EF4219"/>
    <w:rsid w:val="00EF4451"/>
    <w:rsid w:val="00EF4708"/>
    <w:rsid w:val="00EF4893"/>
    <w:rsid w:val="00EF4E80"/>
    <w:rsid w:val="00EF5E8C"/>
    <w:rsid w:val="00EF6112"/>
    <w:rsid w:val="00EF6C7C"/>
    <w:rsid w:val="00EF6E20"/>
    <w:rsid w:val="00EF6EE7"/>
    <w:rsid w:val="00EF7C95"/>
    <w:rsid w:val="00F007A1"/>
    <w:rsid w:val="00F01262"/>
    <w:rsid w:val="00F0168D"/>
    <w:rsid w:val="00F02EB1"/>
    <w:rsid w:val="00F05444"/>
    <w:rsid w:val="00F05631"/>
    <w:rsid w:val="00F05DF6"/>
    <w:rsid w:val="00F06E55"/>
    <w:rsid w:val="00F07A56"/>
    <w:rsid w:val="00F1004D"/>
    <w:rsid w:val="00F1048B"/>
    <w:rsid w:val="00F10511"/>
    <w:rsid w:val="00F10996"/>
    <w:rsid w:val="00F10DC2"/>
    <w:rsid w:val="00F11721"/>
    <w:rsid w:val="00F12509"/>
    <w:rsid w:val="00F14314"/>
    <w:rsid w:val="00F205F0"/>
    <w:rsid w:val="00F206E8"/>
    <w:rsid w:val="00F2077E"/>
    <w:rsid w:val="00F20A87"/>
    <w:rsid w:val="00F20CB9"/>
    <w:rsid w:val="00F212C6"/>
    <w:rsid w:val="00F223B1"/>
    <w:rsid w:val="00F22FFC"/>
    <w:rsid w:val="00F244C5"/>
    <w:rsid w:val="00F2560A"/>
    <w:rsid w:val="00F25BED"/>
    <w:rsid w:val="00F25ED5"/>
    <w:rsid w:val="00F265F6"/>
    <w:rsid w:val="00F27125"/>
    <w:rsid w:val="00F27A04"/>
    <w:rsid w:val="00F27F41"/>
    <w:rsid w:val="00F302A2"/>
    <w:rsid w:val="00F3050F"/>
    <w:rsid w:val="00F31608"/>
    <w:rsid w:val="00F33E8D"/>
    <w:rsid w:val="00F358D0"/>
    <w:rsid w:val="00F35C1D"/>
    <w:rsid w:val="00F35C42"/>
    <w:rsid w:val="00F35DCE"/>
    <w:rsid w:val="00F361FF"/>
    <w:rsid w:val="00F36795"/>
    <w:rsid w:val="00F36B1D"/>
    <w:rsid w:val="00F36CE0"/>
    <w:rsid w:val="00F36DD1"/>
    <w:rsid w:val="00F3760C"/>
    <w:rsid w:val="00F4003F"/>
    <w:rsid w:val="00F4214E"/>
    <w:rsid w:val="00F425C6"/>
    <w:rsid w:val="00F43260"/>
    <w:rsid w:val="00F4341A"/>
    <w:rsid w:val="00F4371B"/>
    <w:rsid w:val="00F43DA2"/>
    <w:rsid w:val="00F450D2"/>
    <w:rsid w:val="00F45415"/>
    <w:rsid w:val="00F454BF"/>
    <w:rsid w:val="00F4564A"/>
    <w:rsid w:val="00F47C9A"/>
    <w:rsid w:val="00F47EC5"/>
    <w:rsid w:val="00F506AE"/>
    <w:rsid w:val="00F51E36"/>
    <w:rsid w:val="00F53CB1"/>
    <w:rsid w:val="00F542A9"/>
    <w:rsid w:val="00F55B84"/>
    <w:rsid w:val="00F55EA8"/>
    <w:rsid w:val="00F55F7B"/>
    <w:rsid w:val="00F57A30"/>
    <w:rsid w:val="00F57FF7"/>
    <w:rsid w:val="00F609C4"/>
    <w:rsid w:val="00F610D8"/>
    <w:rsid w:val="00F61129"/>
    <w:rsid w:val="00F614A8"/>
    <w:rsid w:val="00F620BF"/>
    <w:rsid w:val="00F642A6"/>
    <w:rsid w:val="00F64B5A"/>
    <w:rsid w:val="00F65D40"/>
    <w:rsid w:val="00F6600D"/>
    <w:rsid w:val="00F6603F"/>
    <w:rsid w:val="00F66B23"/>
    <w:rsid w:val="00F701C3"/>
    <w:rsid w:val="00F70839"/>
    <w:rsid w:val="00F7123F"/>
    <w:rsid w:val="00F72F0A"/>
    <w:rsid w:val="00F730D8"/>
    <w:rsid w:val="00F732CC"/>
    <w:rsid w:val="00F733FD"/>
    <w:rsid w:val="00F73CE5"/>
    <w:rsid w:val="00F751E0"/>
    <w:rsid w:val="00F754C5"/>
    <w:rsid w:val="00F7668C"/>
    <w:rsid w:val="00F76B77"/>
    <w:rsid w:val="00F77C2C"/>
    <w:rsid w:val="00F81413"/>
    <w:rsid w:val="00F814F0"/>
    <w:rsid w:val="00F8382D"/>
    <w:rsid w:val="00F855BB"/>
    <w:rsid w:val="00F862E6"/>
    <w:rsid w:val="00F8671E"/>
    <w:rsid w:val="00F871AE"/>
    <w:rsid w:val="00F87D95"/>
    <w:rsid w:val="00F91C5D"/>
    <w:rsid w:val="00F92969"/>
    <w:rsid w:val="00F94CAD"/>
    <w:rsid w:val="00F94CCE"/>
    <w:rsid w:val="00F9555E"/>
    <w:rsid w:val="00F9590B"/>
    <w:rsid w:val="00F95AB9"/>
    <w:rsid w:val="00F95C0E"/>
    <w:rsid w:val="00F95E6C"/>
    <w:rsid w:val="00F964C7"/>
    <w:rsid w:val="00F96FCC"/>
    <w:rsid w:val="00F9762E"/>
    <w:rsid w:val="00FA046C"/>
    <w:rsid w:val="00FA09B6"/>
    <w:rsid w:val="00FA118D"/>
    <w:rsid w:val="00FA179D"/>
    <w:rsid w:val="00FA1D3C"/>
    <w:rsid w:val="00FA25C1"/>
    <w:rsid w:val="00FA4F0D"/>
    <w:rsid w:val="00FA5063"/>
    <w:rsid w:val="00FA6CE1"/>
    <w:rsid w:val="00FA7B35"/>
    <w:rsid w:val="00FB063B"/>
    <w:rsid w:val="00FB071A"/>
    <w:rsid w:val="00FB22C1"/>
    <w:rsid w:val="00FB3BC8"/>
    <w:rsid w:val="00FB3CCA"/>
    <w:rsid w:val="00FB4A21"/>
    <w:rsid w:val="00FB4FCA"/>
    <w:rsid w:val="00FB709D"/>
    <w:rsid w:val="00FC1C80"/>
    <w:rsid w:val="00FC1DDA"/>
    <w:rsid w:val="00FC1ED7"/>
    <w:rsid w:val="00FC2C7C"/>
    <w:rsid w:val="00FC3365"/>
    <w:rsid w:val="00FC46D4"/>
    <w:rsid w:val="00FC5680"/>
    <w:rsid w:val="00FC5B57"/>
    <w:rsid w:val="00FC6E2B"/>
    <w:rsid w:val="00FC79F3"/>
    <w:rsid w:val="00FD06FC"/>
    <w:rsid w:val="00FD07A4"/>
    <w:rsid w:val="00FD1A95"/>
    <w:rsid w:val="00FD7AC1"/>
    <w:rsid w:val="00FE04C9"/>
    <w:rsid w:val="00FE0515"/>
    <w:rsid w:val="00FE11C3"/>
    <w:rsid w:val="00FE15E8"/>
    <w:rsid w:val="00FE2358"/>
    <w:rsid w:val="00FE48ED"/>
    <w:rsid w:val="00FE4AA2"/>
    <w:rsid w:val="00FE65E2"/>
    <w:rsid w:val="00FE7E78"/>
    <w:rsid w:val="00FF0703"/>
    <w:rsid w:val="00FF0DC2"/>
    <w:rsid w:val="00FF112C"/>
    <w:rsid w:val="00FF22BA"/>
    <w:rsid w:val="00FF2DE3"/>
    <w:rsid w:val="00FF390B"/>
    <w:rsid w:val="00FF4CF2"/>
    <w:rsid w:val="00FF7416"/>
    <w:rsid w:val="00FF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091F6-3693-4476-A6E9-76E491D1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D0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yl</cp:lastModifiedBy>
  <cp:revision>1</cp:revision>
  <dcterms:created xsi:type="dcterms:W3CDTF">2016-07-05T09:36:00Z</dcterms:created>
  <dcterms:modified xsi:type="dcterms:W3CDTF">2016-07-05T09:37:00Z</dcterms:modified>
</cp:coreProperties>
</file>