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D65" w:rsidRPr="00D92D65" w:rsidRDefault="00D92D65" w:rsidP="00D92D65">
      <w:pPr>
        <w:widowControl/>
        <w:wordWrap w:val="0"/>
        <w:spacing w:before="100" w:beforeAutospacing="1" w:after="240" w:line="480" w:lineRule="auto"/>
        <w:ind w:firstLine="526"/>
        <w:jc w:val="center"/>
        <w:rPr>
          <w:rFonts w:ascii="ˎ̥" w:eastAsia="宋体" w:hAnsi="ˎ̥" w:cs="Arial"/>
          <w:color w:val="000000"/>
          <w:kern w:val="0"/>
          <w:sz w:val="18"/>
          <w:szCs w:val="18"/>
        </w:rPr>
      </w:pPr>
      <w:r w:rsidRPr="00D92D65">
        <w:rPr>
          <w:rFonts w:ascii="宋体" w:eastAsia="宋体" w:hAnsi="宋体" w:cs="Arial" w:hint="eastAsia"/>
          <w:b/>
          <w:bCs/>
          <w:color w:val="FF0000"/>
          <w:kern w:val="0"/>
          <w:sz w:val="40"/>
        </w:rPr>
        <w:t>国家食品药品监督管理总局令</w:t>
      </w:r>
      <w:r w:rsidRPr="00D92D65">
        <w:rPr>
          <w:rFonts w:ascii="ˎ̥" w:eastAsia="宋体" w:hAnsi="ˎ̥" w:cs="Arial"/>
          <w:b/>
          <w:bCs/>
          <w:color w:val="FF0000"/>
          <w:kern w:val="0"/>
          <w:sz w:val="15"/>
          <w:szCs w:val="15"/>
        </w:rPr>
        <w:br/>
      </w:r>
      <w:r w:rsidRPr="00D92D65">
        <w:rPr>
          <w:rFonts w:ascii="ˎ̥" w:eastAsia="宋体" w:hAnsi="ˎ̥" w:cs="Arial"/>
          <w:color w:val="000000"/>
          <w:kern w:val="0"/>
          <w:sz w:val="15"/>
          <w:szCs w:val="15"/>
        </w:rPr>
        <w:br/>
      </w:r>
      <w:r w:rsidRPr="00D92D65">
        <w:rPr>
          <w:rFonts w:ascii="ˎ̥" w:eastAsia="宋体" w:hAnsi="ˎ̥" w:cs="Arial"/>
          <w:color w:val="000000"/>
          <w:kern w:val="0"/>
          <w:sz w:val="15"/>
          <w:szCs w:val="15"/>
        </w:rPr>
        <w:br/>
      </w:r>
      <w:r w:rsidRPr="00D92D65">
        <w:rPr>
          <w:rFonts w:ascii="宋体" w:eastAsia="宋体" w:hAnsi="宋体" w:cs="Arial" w:hint="eastAsia"/>
          <w:color w:val="000000"/>
          <w:kern w:val="0"/>
          <w:sz w:val="20"/>
          <w:szCs w:val="20"/>
        </w:rPr>
        <w:t>第 5 号</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《体外诊断试剂注册管理办法》已于</w:t>
      </w:r>
      <w:r w:rsidRPr="00D92D65">
        <w:rPr>
          <w:rFonts w:ascii="ˎ̥" w:eastAsia="宋体" w:hAnsi="ˎ̥" w:cs="Arial"/>
          <w:color w:val="000000"/>
          <w:kern w:val="0"/>
          <w:sz w:val="18"/>
          <w:szCs w:val="18"/>
        </w:rPr>
        <w:t>2014</w:t>
      </w:r>
      <w:r w:rsidRPr="00D92D65">
        <w:rPr>
          <w:rFonts w:ascii="ˎ̥" w:eastAsia="宋体" w:hAnsi="ˎ̥" w:cs="Arial"/>
          <w:color w:val="000000"/>
          <w:kern w:val="0"/>
          <w:sz w:val="18"/>
          <w:szCs w:val="18"/>
        </w:rPr>
        <w:t>年</w:t>
      </w:r>
      <w:r w:rsidRPr="00D92D65">
        <w:rPr>
          <w:rFonts w:ascii="ˎ̥" w:eastAsia="宋体" w:hAnsi="ˎ̥" w:cs="Arial"/>
          <w:color w:val="000000"/>
          <w:kern w:val="0"/>
          <w:sz w:val="18"/>
          <w:szCs w:val="18"/>
        </w:rPr>
        <w:t>6</w:t>
      </w:r>
      <w:r w:rsidRPr="00D92D65">
        <w:rPr>
          <w:rFonts w:ascii="ˎ̥" w:eastAsia="宋体" w:hAnsi="ˎ̥" w:cs="Arial"/>
          <w:color w:val="000000"/>
          <w:kern w:val="0"/>
          <w:sz w:val="18"/>
          <w:szCs w:val="18"/>
        </w:rPr>
        <w:t>月</w:t>
      </w:r>
      <w:r w:rsidRPr="00D92D65">
        <w:rPr>
          <w:rFonts w:ascii="ˎ̥" w:eastAsia="宋体" w:hAnsi="ˎ̥" w:cs="Arial"/>
          <w:color w:val="000000"/>
          <w:kern w:val="0"/>
          <w:sz w:val="18"/>
          <w:szCs w:val="18"/>
        </w:rPr>
        <w:t>27</w:t>
      </w:r>
      <w:r w:rsidRPr="00D92D65">
        <w:rPr>
          <w:rFonts w:ascii="ˎ̥" w:eastAsia="宋体" w:hAnsi="ˎ̥" w:cs="Arial"/>
          <w:color w:val="000000"/>
          <w:kern w:val="0"/>
          <w:sz w:val="18"/>
          <w:szCs w:val="18"/>
        </w:rPr>
        <w:t>日经国家食品药品监督管理总局局务会议审议通过，现予公布，自</w:t>
      </w:r>
      <w:r w:rsidRPr="00D92D65">
        <w:rPr>
          <w:rFonts w:ascii="ˎ̥" w:eastAsia="宋体" w:hAnsi="ˎ̥" w:cs="Arial"/>
          <w:color w:val="000000"/>
          <w:kern w:val="0"/>
          <w:sz w:val="18"/>
          <w:szCs w:val="18"/>
        </w:rPr>
        <w:t>2014</w:t>
      </w:r>
      <w:r w:rsidRPr="00D92D65">
        <w:rPr>
          <w:rFonts w:ascii="ˎ̥" w:eastAsia="宋体" w:hAnsi="ˎ̥" w:cs="Arial"/>
          <w:color w:val="000000"/>
          <w:kern w:val="0"/>
          <w:sz w:val="18"/>
          <w:szCs w:val="18"/>
        </w:rPr>
        <w:t>年</w:t>
      </w:r>
      <w:r w:rsidRPr="00D92D65">
        <w:rPr>
          <w:rFonts w:ascii="ˎ̥" w:eastAsia="宋体" w:hAnsi="ˎ̥" w:cs="Arial"/>
          <w:color w:val="000000"/>
          <w:kern w:val="0"/>
          <w:sz w:val="18"/>
          <w:szCs w:val="18"/>
        </w:rPr>
        <w:t>10</w:t>
      </w:r>
      <w:r w:rsidRPr="00D92D65">
        <w:rPr>
          <w:rFonts w:ascii="ˎ̥" w:eastAsia="宋体" w:hAnsi="ˎ̥" w:cs="Arial"/>
          <w:color w:val="000000"/>
          <w:kern w:val="0"/>
          <w:sz w:val="18"/>
          <w:szCs w:val="18"/>
        </w:rPr>
        <w:t>月</w:t>
      </w:r>
      <w:r w:rsidRPr="00D92D65">
        <w:rPr>
          <w:rFonts w:ascii="ˎ̥" w:eastAsia="宋体" w:hAnsi="ˎ̥" w:cs="Arial"/>
          <w:color w:val="000000"/>
          <w:kern w:val="0"/>
          <w:sz w:val="18"/>
          <w:szCs w:val="18"/>
        </w:rPr>
        <w:t>1</w:t>
      </w:r>
      <w:r w:rsidRPr="00D92D65">
        <w:rPr>
          <w:rFonts w:ascii="ˎ̥" w:eastAsia="宋体" w:hAnsi="ˎ̥" w:cs="Arial"/>
          <w:color w:val="000000"/>
          <w:kern w:val="0"/>
          <w:sz w:val="18"/>
          <w:szCs w:val="18"/>
        </w:rPr>
        <w:t>日起施行。</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局　</w:t>
      </w:r>
      <w:proofErr w:type="gramStart"/>
      <w:r w:rsidRPr="00D92D65">
        <w:rPr>
          <w:rFonts w:ascii="ˎ̥" w:eastAsia="宋体" w:hAnsi="ˎ̥" w:cs="Arial"/>
          <w:color w:val="000000"/>
          <w:kern w:val="0"/>
          <w:sz w:val="18"/>
          <w:szCs w:val="18"/>
        </w:rPr>
        <w:t xml:space="preserve">长　　</w:t>
      </w:r>
      <w:proofErr w:type="gramEnd"/>
      <w:r w:rsidRPr="00D92D65">
        <w:rPr>
          <w:rFonts w:ascii="ˎ̥" w:eastAsia="宋体" w:hAnsi="ˎ̥" w:cs="Arial"/>
          <w:color w:val="000000"/>
          <w:kern w:val="0"/>
          <w:sz w:val="18"/>
          <w:szCs w:val="18"/>
        </w:rPr>
        <w:t>张勇</w:t>
      </w:r>
      <w:r w:rsidRPr="00D92D65">
        <w:rPr>
          <w:rFonts w:ascii="ˎ̥" w:eastAsia="宋体" w:hAnsi="ˎ̥" w:cs="Arial"/>
          <w:color w:val="000000"/>
          <w:kern w:val="0"/>
          <w:sz w:val="15"/>
          <w:szCs w:val="15"/>
        </w:rPr>
        <w:br/>
      </w:r>
      <w:proofErr w:type="gramStart"/>
      <w:r w:rsidRPr="00D92D65">
        <w:rPr>
          <w:rFonts w:ascii="ˎ̥" w:eastAsia="宋体" w:hAnsi="ˎ̥" w:cs="Arial"/>
          <w:color w:val="000000"/>
          <w:kern w:val="0"/>
          <w:sz w:val="18"/>
          <w:szCs w:val="18"/>
        </w:rPr>
        <w:t xml:space="preserve">　　　　　　　　　　　　　　　　　　　　　　　　　　　　　　　　　　　　　　　</w:t>
      </w:r>
      <w:proofErr w:type="gramEnd"/>
      <w:r w:rsidRPr="00D92D65">
        <w:rPr>
          <w:rFonts w:ascii="ˎ̥" w:eastAsia="宋体" w:hAnsi="ˎ̥" w:cs="Arial"/>
          <w:color w:val="000000"/>
          <w:kern w:val="0"/>
          <w:sz w:val="18"/>
          <w:szCs w:val="18"/>
        </w:rPr>
        <w:t xml:space="preserve"> 2014</w:t>
      </w:r>
      <w:r w:rsidRPr="00D92D65">
        <w:rPr>
          <w:rFonts w:ascii="ˎ̥" w:eastAsia="宋体" w:hAnsi="ˎ̥" w:cs="Arial"/>
          <w:color w:val="000000"/>
          <w:kern w:val="0"/>
          <w:sz w:val="18"/>
          <w:szCs w:val="18"/>
        </w:rPr>
        <w:t>年</w:t>
      </w:r>
      <w:r w:rsidRPr="00D92D65">
        <w:rPr>
          <w:rFonts w:ascii="ˎ̥" w:eastAsia="宋体" w:hAnsi="ˎ̥" w:cs="Arial"/>
          <w:color w:val="000000"/>
          <w:kern w:val="0"/>
          <w:sz w:val="18"/>
          <w:szCs w:val="18"/>
        </w:rPr>
        <w:t>7</w:t>
      </w:r>
      <w:r w:rsidRPr="00D92D65">
        <w:rPr>
          <w:rFonts w:ascii="ˎ̥" w:eastAsia="宋体" w:hAnsi="ˎ̥" w:cs="Arial"/>
          <w:color w:val="000000"/>
          <w:kern w:val="0"/>
          <w:sz w:val="18"/>
          <w:szCs w:val="18"/>
        </w:rPr>
        <w:t>月</w:t>
      </w:r>
      <w:r w:rsidRPr="00D92D65">
        <w:rPr>
          <w:rFonts w:ascii="ˎ̥" w:eastAsia="宋体" w:hAnsi="ˎ̥" w:cs="Arial"/>
          <w:color w:val="000000"/>
          <w:kern w:val="0"/>
          <w:sz w:val="18"/>
          <w:szCs w:val="18"/>
        </w:rPr>
        <w:t>30</w:t>
      </w:r>
      <w:r w:rsidRPr="00D92D65">
        <w:rPr>
          <w:rFonts w:ascii="ˎ̥" w:eastAsia="宋体" w:hAnsi="ˎ̥" w:cs="Arial"/>
          <w:color w:val="000000"/>
          <w:kern w:val="0"/>
          <w:sz w:val="18"/>
          <w:szCs w:val="18"/>
        </w:rPr>
        <w:t>日</w:t>
      </w:r>
    </w:p>
    <w:p w:rsidR="00D92D65" w:rsidRPr="00D92D65" w:rsidRDefault="00D92D65" w:rsidP="00D92D65">
      <w:pPr>
        <w:widowControl/>
        <w:wordWrap w:val="0"/>
        <w:spacing w:before="100" w:beforeAutospacing="1" w:after="100" w:afterAutospacing="1" w:line="480" w:lineRule="auto"/>
        <w:jc w:val="center"/>
        <w:rPr>
          <w:rFonts w:ascii="ˎ̥" w:eastAsia="宋体" w:hAnsi="ˎ̥" w:cs="Arial"/>
          <w:color w:val="000000"/>
          <w:kern w:val="0"/>
          <w:sz w:val="18"/>
          <w:szCs w:val="18"/>
        </w:rPr>
      </w:pPr>
      <w:r w:rsidRPr="00D92D65">
        <w:rPr>
          <w:rFonts w:ascii="ˎ̥" w:eastAsia="宋体" w:hAnsi="ˎ̥" w:cs="Arial"/>
          <w:color w:val="000000"/>
          <w:kern w:val="0"/>
          <w:sz w:val="15"/>
          <w:szCs w:val="15"/>
        </w:rPr>
        <w:br/>
      </w:r>
      <w:r w:rsidRPr="00D92D65">
        <w:rPr>
          <w:rFonts w:ascii="ˎ̥" w:eastAsia="宋体" w:hAnsi="ˎ̥" w:cs="Arial"/>
          <w:b/>
          <w:bCs/>
          <w:color w:val="000000"/>
          <w:kern w:val="0"/>
          <w:sz w:val="18"/>
        </w:rPr>
        <w:t>体外诊断试剂注册管理办法</w:t>
      </w:r>
    </w:p>
    <w:p w:rsidR="00D92D65" w:rsidRPr="00D92D65" w:rsidRDefault="00D92D65" w:rsidP="00D92D65">
      <w:pPr>
        <w:widowControl/>
        <w:wordWrap w:val="0"/>
        <w:spacing w:before="100" w:beforeAutospacing="1" w:after="100" w:afterAutospacing="1" w:line="480" w:lineRule="auto"/>
        <w:jc w:val="center"/>
        <w:rPr>
          <w:rFonts w:ascii="ˎ̥" w:eastAsia="宋体" w:hAnsi="ˎ̥" w:cs="Arial"/>
          <w:color w:val="000000"/>
          <w:kern w:val="0"/>
          <w:sz w:val="18"/>
          <w:szCs w:val="18"/>
        </w:rPr>
      </w:pPr>
      <w:r w:rsidRPr="00D92D65">
        <w:rPr>
          <w:rFonts w:ascii="ˎ̥" w:eastAsia="宋体" w:hAnsi="ˎ̥" w:cs="Arial"/>
          <w:color w:val="000000"/>
          <w:kern w:val="0"/>
          <w:sz w:val="18"/>
          <w:szCs w:val="18"/>
        </w:rPr>
        <w:t>第一章　总　则</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第一条　为规范体外诊断试剂的注册与备案管理，保证体外诊断试剂的安全、有效，根据《医疗器械监督管理条例》，制定本办法。</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第二条　在中华人民共和国境内销售、使用的体外诊断试剂，应当按照本办法的规定申请注册或者办理备案。</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第三条　本办法所称体外诊断试剂，是指按医疗器械管理的体外诊断试剂，包括在疾病的预测、预防、诊断、治疗监测、预后观察和健康状态评价的过程中，用于人体样本体外检测的试剂、试剂盒、校准品、</w:t>
      </w:r>
      <w:proofErr w:type="gramStart"/>
      <w:r w:rsidRPr="00D92D65">
        <w:rPr>
          <w:rFonts w:ascii="ˎ̥" w:eastAsia="宋体" w:hAnsi="ˎ̥" w:cs="Arial"/>
          <w:color w:val="000000"/>
          <w:kern w:val="0"/>
          <w:sz w:val="18"/>
          <w:szCs w:val="18"/>
        </w:rPr>
        <w:lastRenderedPageBreak/>
        <w:t>质控品等</w:t>
      </w:r>
      <w:proofErr w:type="gramEnd"/>
      <w:r w:rsidRPr="00D92D65">
        <w:rPr>
          <w:rFonts w:ascii="ˎ̥" w:eastAsia="宋体" w:hAnsi="ˎ̥" w:cs="Arial"/>
          <w:color w:val="000000"/>
          <w:kern w:val="0"/>
          <w:sz w:val="18"/>
          <w:szCs w:val="18"/>
        </w:rPr>
        <w:t>产品。可以单独使用，也可以与仪器、器具、设备或者系统组合使用。</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按照药品管理的用于血源筛查的体外诊断试剂和采用放射性核素标记的体外诊断试剂，不属于本办法管理范围。</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第四条　体外诊断试剂注册是食品药品监督管理部门根据注册申请人的申请，依照法定程序，对其拟上市体外诊断试剂的安全性、有效性研究及其结果进行系统评价，以决定是否同意其申请的过程。</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体外诊断试剂备案是备案人向食品药品监督管理部门提交备案资料，食品药品监督管理部门对提交的备案资料存档备查。</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第五条　体外诊断试剂注册与备案应当遵循公开、公平、公正的原则。</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第六条　第一类体外诊断试剂实行备案管理，第二类、第三类体外诊断试剂实行注册管理。</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境内第一类体外诊断试剂备案，备案人向设区的市级食品药品监督管理部门提交备案资料。</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境内第二类体外诊断试剂由省、自治区、直辖市食品药品监督管理部门审查，批准后发给医疗器械注册证。</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境内第三类体外诊断试剂由国家食品药品监督管理总局审查，批准后发给医疗器械注册证。</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进口第一类体外诊断试剂备案，备案人向国家食品药品监督管理总局提交备案资料。</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进口第二类、第三类体外诊断试剂由国家食品药品监督管理总局审查，批准后发给医疗器械注册证。</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香港、澳门、台湾地区体外诊断试剂的注册、备案，参照进口体外诊断试剂办理。</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第七条　体外诊断试剂注册人、备案人以自己名义把产品推向市场，对产品负法律责任。</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第八条　食品药品监督管理部门依法及时公布体外诊断试剂注册、备案相关信息。申请人可以查询审批进度和结果，公众可以查阅审批结果。</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lastRenderedPageBreak/>
        <w:t xml:space="preserve">　　第九条　国家鼓励体外诊断试剂的研究与创新，对创新体外诊断试剂实行特别审批，促进体外诊断试剂新技术的推广与应用，推动医疗器械产业的发展。</w:t>
      </w:r>
    </w:p>
    <w:p w:rsidR="00D92D65" w:rsidRPr="00D92D65" w:rsidRDefault="00D92D65" w:rsidP="00D92D65">
      <w:pPr>
        <w:widowControl/>
        <w:wordWrap w:val="0"/>
        <w:spacing w:before="100" w:beforeAutospacing="1" w:after="100" w:afterAutospacing="1" w:line="480" w:lineRule="auto"/>
        <w:jc w:val="center"/>
        <w:rPr>
          <w:rFonts w:ascii="ˎ̥" w:eastAsia="宋体" w:hAnsi="ˎ̥" w:cs="Arial"/>
          <w:color w:val="000000"/>
          <w:kern w:val="0"/>
          <w:sz w:val="18"/>
          <w:szCs w:val="18"/>
        </w:rPr>
      </w:pPr>
      <w:r w:rsidRPr="00D92D65">
        <w:rPr>
          <w:rFonts w:ascii="ˎ̥" w:eastAsia="宋体" w:hAnsi="ˎ̥" w:cs="Arial"/>
          <w:color w:val="000000"/>
          <w:kern w:val="0"/>
          <w:sz w:val="18"/>
          <w:szCs w:val="18"/>
        </w:rPr>
        <w:t>第二章　基本要求</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第十条　体外诊断试剂注册申请人和备案人应当建立与产品研制、生产有关的质量管理体系，并保持有效运行。</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按照创新医疗器械特别审批程序审批的境内体外诊断试剂申请注册时，样品委托其他企业生产的，应当委托具有相应生产范围的医疗器械生产企业；不属于按照创新医疗器械特别审批程序审批的境内体外诊断试剂申请注册时，样品不得委托其他企业生产。</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第十一条　办理体外诊断试剂注册或者备案事务的人员应当具有相应的专业知识，熟悉医疗器械注册或者备案管理的法律、法规、规章和技术要求。</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第十二条　体外诊断试剂产品研制包括：主要原材料的选择、制备，产品生产工艺的确定，产品技术要求的拟订，产品稳定性研究，阳性判断</w:t>
      </w:r>
      <w:proofErr w:type="gramStart"/>
      <w:r w:rsidRPr="00D92D65">
        <w:rPr>
          <w:rFonts w:ascii="ˎ̥" w:eastAsia="宋体" w:hAnsi="ˎ̥" w:cs="Arial"/>
          <w:color w:val="000000"/>
          <w:kern w:val="0"/>
          <w:sz w:val="18"/>
          <w:szCs w:val="18"/>
        </w:rPr>
        <w:t>值或者</w:t>
      </w:r>
      <w:proofErr w:type="gramEnd"/>
      <w:r w:rsidRPr="00D92D65">
        <w:rPr>
          <w:rFonts w:ascii="ˎ̥" w:eastAsia="宋体" w:hAnsi="ˎ̥" w:cs="Arial"/>
          <w:color w:val="000000"/>
          <w:kern w:val="0"/>
          <w:sz w:val="18"/>
          <w:szCs w:val="18"/>
        </w:rPr>
        <w:t>参考区间确定，产品分析性能评估，临床评价等相关工作。</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申请人或者备案人可以参考相关技术指导原则进行产品研制，也可以采用不同的实验方法或者技术手段，但应当说明其合理性。</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第十三条　申请人或者备案人申请注册或者办理备案，应当遵循体外诊断试剂安全有效的各项要求，保证研制过程规范，所有数据真实、完整和</w:t>
      </w:r>
      <w:proofErr w:type="gramStart"/>
      <w:r w:rsidRPr="00D92D65">
        <w:rPr>
          <w:rFonts w:ascii="ˎ̥" w:eastAsia="宋体" w:hAnsi="ˎ̥" w:cs="Arial"/>
          <w:color w:val="000000"/>
          <w:kern w:val="0"/>
          <w:sz w:val="18"/>
          <w:szCs w:val="18"/>
        </w:rPr>
        <w:t>可</w:t>
      </w:r>
      <w:proofErr w:type="gramEnd"/>
      <w:r w:rsidRPr="00D92D65">
        <w:rPr>
          <w:rFonts w:ascii="ˎ̥" w:eastAsia="宋体" w:hAnsi="ˎ̥" w:cs="Arial"/>
          <w:color w:val="000000"/>
          <w:kern w:val="0"/>
          <w:sz w:val="18"/>
          <w:szCs w:val="18"/>
        </w:rPr>
        <w:t>溯源。</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第十四条　申请注册或者办理备案的资料应当使用中文。根据外文资料翻译的，应当同时提供原文。引用未公开发表的文献资料时，应当提供资料所有者许可使用的证明文件。</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申请人、备案人对资料的真实性负责。</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lastRenderedPageBreak/>
        <w:t xml:space="preserve">　　第十五条　申请注册或者办理备案的进口体外诊断试剂，应当在申请人或者备案人注册地或者生产地址所在国家（地区）已获准上市销售。</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申请人或者备案人注册地或者生产地址所在国家（地区）未将该产品作为医疗器械管理的，申请人或者备案人需提供相关证明文件，包括注册地或者生产地址所在国家（地区）准许该产品上市销售的证明文件。</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第十六条　境外申请人或者备案人应当通过其在中国境内设立的代表机构或者指定中国境内的企业法人作为代理人，配合境外申请人或者备案人开展相关工作。</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代理人除办理体外诊断试剂注册或者备案事宜外，还应当承担以下责任：</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（一）与相应食品药品监督管理部门、境外申请人或者备案人的联络；</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（二）向申请人或者备案人如实、准确传达相关的法规和技术要求；</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（三）收集上市后体外诊断试剂不良事件信息并反馈境外注册人或者备案人，同时向相应的食品药品监督管理部门报告；</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（四）协调体外诊断试剂上市后的产品召回工作，并向相应的食品药品监督管理部门报告；</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（五）其他涉及产品质量和售后服务的连带责任。</w:t>
      </w:r>
    </w:p>
    <w:p w:rsidR="00D92D65" w:rsidRPr="00D92D65" w:rsidRDefault="00D92D65" w:rsidP="00D92D65">
      <w:pPr>
        <w:widowControl/>
        <w:wordWrap w:val="0"/>
        <w:spacing w:before="100" w:beforeAutospacing="1" w:after="100" w:afterAutospacing="1" w:line="480" w:lineRule="auto"/>
        <w:jc w:val="center"/>
        <w:rPr>
          <w:rFonts w:ascii="ˎ̥" w:eastAsia="宋体" w:hAnsi="ˎ̥" w:cs="Arial"/>
          <w:color w:val="000000"/>
          <w:kern w:val="0"/>
          <w:sz w:val="18"/>
          <w:szCs w:val="18"/>
        </w:rPr>
      </w:pPr>
      <w:r w:rsidRPr="00D92D65">
        <w:rPr>
          <w:rFonts w:ascii="ˎ̥" w:eastAsia="宋体" w:hAnsi="ˎ̥" w:cs="Arial"/>
          <w:color w:val="000000"/>
          <w:kern w:val="0"/>
          <w:sz w:val="18"/>
          <w:szCs w:val="18"/>
        </w:rPr>
        <w:t>第三章　产品的分类与命名</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第十七条　根据产品风险程度由低到高，体外诊断试剂分为第一类、第二类、第三类产品。</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（一）第一类产品</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w:t>
      </w:r>
      <w:r w:rsidRPr="00D92D65">
        <w:rPr>
          <w:rFonts w:ascii="ˎ̥" w:eastAsia="宋体" w:hAnsi="ˎ̥" w:cs="Arial"/>
          <w:color w:val="000000"/>
          <w:kern w:val="0"/>
          <w:sz w:val="18"/>
          <w:szCs w:val="18"/>
        </w:rPr>
        <w:t>1.</w:t>
      </w:r>
      <w:r w:rsidRPr="00D92D65">
        <w:rPr>
          <w:rFonts w:ascii="ˎ̥" w:eastAsia="宋体" w:hAnsi="ˎ̥" w:cs="Arial"/>
          <w:color w:val="000000"/>
          <w:kern w:val="0"/>
          <w:sz w:val="18"/>
          <w:szCs w:val="18"/>
        </w:rPr>
        <w:t>微生物培养基（不用于微生物鉴别和药敏试验）；</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w:t>
      </w:r>
      <w:r w:rsidRPr="00D92D65">
        <w:rPr>
          <w:rFonts w:ascii="ˎ̥" w:eastAsia="宋体" w:hAnsi="ˎ̥" w:cs="Arial"/>
          <w:color w:val="000000"/>
          <w:kern w:val="0"/>
          <w:sz w:val="18"/>
          <w:szCs w:val="18"/>
        </w:rPr>
        <w:t>2.</w:t>
      </w:r>
      <w:r w:rsidRPr="00D92D65">
        <w:rPr>
          <w:rFonts w:ascii="ˎ̥" w:eastAsia="宋体" w:hAnsi="ˎ̥" w:cs="Arial"/>
          <w:color w:val="000000"/>
          <w:kern w:val="0"/>
          <w:sz w:val="18"/>
          <w:szCs w:val="18"/>
        </w:rPr>
        <w:t>样本处理用产品，如溶血剂、稀释液、染色液等。</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（二）第二类产品</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除已明确为第一类、第三类的产品，其他为第二类产品，主要包括：</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lastRenderedPageBreak/>
        <w:t xml:space="preserve">　　</w:t>
      </w:r>
      <w:r w:rsidRPr="00D92D65">
        <w:rPr>
          <w:rFonts w:ascii="ˎ̥" w:eastAsia="宋体" w:hAnsi="ˎ̥" w:cs="Arial"/>
          <w:color w:val="000000"/>
          <w:kern w:val="0"/>
          <w:sz w:val="18"/>
          <w:szCs w:val="18"/>
        </w:rPr>
        <w:t>1.</w:t>
      </w:r>
      <w:r w:rsidRPr="00D92D65">
        <w:rPr>
          <w:rFonts w:ascii="ˎ̥" w:eastAsia="宋体" w:hAnsi="ˎ̥" w:cs="Arial"/>
          <w:color w:val="000000"/>
          <w:kern w:val="0"/>
          <w:sz w:val="18"/>
          <w:szCs w:val="18"/>
        </w:rPr>
        <w:t>用于蛋白质检测的试剂；</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w:t>
      </w:r>
      <w:r w:rsidRPr="00D92D65">
        <w:rPr>
          <w:rFonts w:ascii="ˎ̥" w:eastAsia="宋体" w:hAnsi="ˎ̥" w:cs="Arial"/>
          <w:color w:val="000000"/>
          <w:kern w:val="0"/>
          <w:sz w:val="18"/>
          <w:szCs w:val="18"/>
        </w:rPr>
        <w:t>2.</w:t>
      </w:r>
      <w:r w:rsidRPr="00D92D65">
        <w:rPr>
          <w:rFonts w:ascii="ˎ̥" w:eastAsia="宋体" w:hAnsi="ˎ̥" w:cs="Arial"/>
          <w:color w:val="000000"/>
          <w:kern w:val="0"/>
          <w:sz w:val="18"/>
          <w:szCs w:val="18"/>
        </w:rPr>
        <w:t>用于糖类检测的试剂；</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w:t>
      </w:r>
      <w:r w:rsidRPr="00D92D65">
        <w:rPr>
          <w:rFonts w:ascii="ˎ̥" w:eastAsia="宋体" w:hAnsi="ˎ̥" w:cs="Arial"/>
          <w:color w:val="000000"/>
          <w:kern w:val="0"/>
          <w:sz w:val="18"/>
          <w:szCs w:val="18"/>
        </w:rPr>
        <w:t>3.</w:t>
      </w:r>
      <w:r w:rsidRPr="00D92D65">
        <w:rPr>
          <w:rFonts w:ascii="ˎ̥" w:eastAsia="宋体" w:hAnsi="ˎ̥" w:cs="Arial"/>
          <w:color w:val="000000"/>
          <w:kern w:val="0"/>
          <w:sz w:val="18"/>
          <w:szCs w:val="18"/>
        </w:rPr>
        <w:t>用于激素检测的试剂；</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w:t>
      </w:r>
      <w:r w:rsidRPr="00D92D65">
        <w:rPr>
          <w:rFonts w:ascii="ˎ̥" w:eastAsia="宋体" w:hAnsi="ˎ̥" w:cs="Arial"/>
          <w:color w:val="000000"/>
          <w:kern w:val="0"/>
          <w:sz w:val="18"/>
          <w:szCs w:val="18"/>
        </w:rPr>
        <w:t>4.</w:t>
      </w:r>
      <w:r w:rsidRPr="00D92D65">
        <w:rPr>
          <w:rFonts w:ascii="ˎ̥" w:eastAsia="宋体" w:hAnsi="ˎ̥" w:cs="Arial"/>
          <w:color w:val="000000"/>
          <w:kern w:val="0"/>
          <w:sz w:val="18"/>
          <w:szCs w:val="18"/>
        </w:rPr>
        <w:t>用于酶类检测的试剂；</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w:t>
      </w:r>
      <w:r w:rsidRPr="00D92D65">
        <w:rPr>
          <w:rFonts w:ascii="ˎ̥" w:eastAsia="宋体" w:hAnsi="ˎ̥" w:cs="Arial"/>
          <w:color w:val="000000"/>
          <w:kern w:val="0"/>
          <w:sz w:val="18"/>
          <w:szCs w:val="18"/>
        </w:rPr>
        <w:t>5.</w:t>
      </w:r>
      <w:r w:rsidRPr="00D92D65">
        <w:rPr>
          <w:rFonts w:ascii="ˎ̥" w:eastAsia="宋体" w:hAnsi="ˎ̥" w:cs="Arial"/>
          <w:color w:val="000000"/>
          <w:kern w:val="0"/>
          <w:sz w:val="18"/>
          <w:szCs w:val="18"/>
        </w:rPr>
        <w:t>用于酯类检测的试剂；</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w:t>
      </w:r>
      <w:r w:rsidRPr="00D92D65">
        <w:rPr>
          <w:rFonts w:ascii="ˎ̥" w:eastAsia="宋体" w:hAnsi="ˎ̥" w:cs="Arial"/>
          <w:color w:val="000000"/>
          <w:kern w:val="0"/>
          <w:sz w:val="18"/>
          <w:szCs w:val="18"/>
        </w:rPr>
        <w:t>6.</w:t>
      </w:r>
      <w:r w:rsidRPr="00D92D65">
        <w:rPr>
          <w:rFonts w:ascii="ˎ̥" w:eastAsia="宋体" w:hAnsi="ˎ̥" w:cs="Arial"/>
          <w:color w:val="000000"/>
          <w:kern w:val="0"/>
          <w:sz w:val="18"/>
          <w:szCs w:val="18"/>
        </w:rPr>
        <w:t>用于维生素检测的试剂；</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w:t>
      </w:r>
      <w:r w:rsidRPr="00D92D65">
        <w:rPr>
          <w:rFonts w:ascii="ˎ̥" w:eastAsia="宋体" w:hAnsi="ˎ̥" w:cs="Arial"/>
          <w:color w:val="000000"/>
          <w:kern w:val="0"/>
          <w:sz w:val="18"/>
          <w:szCs w:val="18"/>
        </w:rPr>
        <w:t>7.</w:t>
      </w:r>
      <w:r w:rsidRPr="00D92D65">
        <w:rPr>
          <w:rFonts w:ascii="ˎ̥" w:eastAsia="宋体" w:hAnsi="ˎ̥" w:cs="Arial"/>
          <w:color w:val="000000"/>
          <w:kern w:val="0"/>
          <w:sz w:val="18"/>
          <w:szCs w:val="18"/>
        </w:rPr>
        <w:t>用于无机离子检测的试剂；</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w:t>
      </w:r>
      <w:r w:rsidRPr="00D92D65">
        <w:rPr>
          <w:rFonts w:ascii="ˎ̥" w:eastAsia="宋体" w:hAnsi="ˎ̥" w:cs="Arial"/>
          <w:color w:val="000000"/>
          <w:kern w:val="0"/>
          <w:sz w:val="18"/>
          <w:szCs w:val="18"/>
        </w:rPr>
        <w:t>8.</w:t>
      </w:r>
      <w:r w:rsidRPr="00D92D65">
        <w:rPr>
          <w:rFonts w:ascii="ˎ̥" w:eastAsia="宋体" w:hAnsi="ˎ̥" w:cs="Arial"/>
          <w:color w:val="000000"/>
          <w:kern w:val="0"/>
          <w:sz w:val="18"/>
          <w:szCs w:val="18"/>
        </w:rPr>
        <w:t>用于药物及药物代谢物检测的试剂；</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w:t>
      </w:r>
      <w:r w:rsidRPr="00D92D65">
        <w:rPr>
          <w:rFonts w:ascii="ˎ̥" w:eastAsia="宋体" w:hAnsi="ˎ̥" w:cs="Arial"/>
          <w:color w:val="000000"/>
          <w:kern w:val="0"/>
          <w:sz w:val="18"/>
          <w:szCs w:val="18"/>
        </w:rPr>
        <w:t>9.</w:t>
      </w:r>
      <w:r w:rsidRPr="00D92D65">
        <w:rPr>
          <w:rFonts w:ascii="ˎ̥" w:eastAsia="宋体" w:hAnsi="ˎ̥" w:cs="Arial"/>
          <w:color w:val="000000"/>
          <w:kern w:val="0"/>
          <w:sz w:val="18"/>
          <w:szCs w:val="18"/>
        </w:rPr>
        <w:t>用于自身抗体检测的试剂；</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w:t>
      </w:r>
      <w:r w:rsidRPr="00D92D65">
        <w:rPr>
          <w:rFonts w:ascii="ˎ̥" w:eastAsia="宋体" w:hAnsi="ˎ̥" w:cs="Arial"/>
          <w:color w:val="000000"/>
          <w:kern w:val="0"/>
          <w:sz w:val="18"/>
          <w:szCs w:val="18"/>
        </w:rPr>
        <w:t>10.</w:t>
      </w:r>
      <w:r w:rsidRPr="00D92D65">
        <w:rPr>
          <w:rFonts w:ascii="ˎ̥" w:eastAsia="宋体" w:hAnsi="ˎ̥" w:cs="Arial"/>
          <w:color w:val="000000"/>
          <w:kern w:val="0"/>
          <w:sz w:val="18"/>
          <w:szCs w:val="18"/>
        </w:rPr>
        <w:t>用于微生物鉴别或者药敏试验的试剂；</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w:t>
      </w:r>
      <w:r w:rsidRPr="00D92D65">
        <w:rPr>
          <w:rFonts w:ascii="ˎ̥" w:eastAsia="宋体" w:hAnsi="ˎ̥" w:cs="Arial"/>
          <w:color w:val="000000"/>
          <w:kern w:val="0"/>
          <w:sz w:val="18"/>
          <w:szCs w:val="18"/>
        </w:rPr>
        <w:t>11.</w:t>
      </w:r>
      <w:r w:rsidRPr="00D92D65">
        <w:rPr>
          <w:rFonts w:ascii="ˎ̥" w:eastAsia="宋体" w:hAnsi="ˎ̥" w:cs="Arial"/>
          <w:color w:val="000000"/>
          <w:kern w:val="0"/>
          <w:sz w:val="18"/>
          <w:szCs w:val="18"/>
        </w:rPr>
        <w:t>用于其他生理、生化或者免疫功能指标检测的试剂。</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（三）第三类产品</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w:t>
      </w:r>
      <w:r w:rsidRPr="00D92D65">
        <w:rPr>
          <w:rFonts w:ascii="ˎ̥" w:eastAsia="宋体" w:hAnsi="ˎ̥" w:cs="Arial"/>
          <w:color w:val="000000"/>
          <w:kern w:val="0"/>
          <w:sz w:val="18"/>
          <w:szCs w:val="18"/>
        </w:rPr>
        <w:t>1.</w:t>
      </w:r>
      <w:r w:rsidRPr="00D92D65">
        <w:rPr>
          <w:rFonts w:ascii="ˎ̥" w:eastAsia="宋体" w:hAnsi="ˎ̥" w:cs="Arial"/>
          <w:color w:val="000000"/>
          <w:kern w:val="0"/>
          <w:sz w:val="18"/>
          <w:szCs w:val="18"/>
        </w:rPr>
        <w:t>与致病性病原体抗原、抗体以及核酸等检测相关的试剂；</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w:t>
      </w:r>
      <w:r w:rsidRPr="00D92D65">
        <w:rPr>
          <w:rFonts w:ascii="ˎ̥" w:eastAsia="宋体" w:hAnsi="ˎ̥" w:cs="Arial"/>
          <w:color w:val="000000"/>
          <w:kern w:val="0"/>
          <w:sz w:val="18"/>
          <w:szCs w:val="18"/>
        </w:rPr>
        <w:t>2.</w:t>
      </w:r>
      <w:r w:rsidRPr="00D92D65">
        <w:rPr>
          <w:rFonts w:ascii="ˎ̥" w:eastAsia="宋体" w:hAnsi="ˎ̥" w:cs="Arial"/>
          <w:color w:val="000000"/>
          <w:kern w:val="0"/>
          <w:sz w:val="18"/>
          <w:szCs w:val="18"/>
        </w:rPr>
        <w:t>与血型、组织配型相关的试剂；</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w:t>
      </w:r>
      <w:r w:rsidRPr="00D92D65">
        <w:rPr>
          <w:rFonts w:ascii="ˎ̥" w:eastAsia="宋体" w:hAnsi="ˎ̥" w:cs="Arial"/>
          <w:color w:val="000000"/>
          <w:kern w:val="0"/>
          <w:sz w:val="18"/>
          <w:szCs w:val="18"/>
        </w:rPr>
        <w:t>3.</w:t>
      </w:r>
      <w:r w:rsidRPr="00D92D65">
        <w:rPr>
          <w:rFonts w:ascii="ˎ̥" w:eastAsia="宋体" w:hAnsi="ˎ̥" w:cs="Arial"/>
          <w:color w:val="000000"/>
          <w:kern w:val="0"/>
          <w:sz w:val="18"/>
          <w:szCs w:val="18"/>
        </w:rPr>
        <w:t>与人类基因检测相关的试剂；</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w:t>
      </w:r>
      <w:r w:rsidRPr="00D92D65">
        <w:rPr>
          <w:rFonts w:ascii="ˎ̥" w:eastAsia="宋体" w:hAnsi="ˎ̥" w:cs="Arial"/>
          <w:color w:val="000000"/>
          <w:kern w:val="0"/>
          <w:sz w:val="18"/>
          <w:szCs w:val="18"/>
        </w:rPr>
        <w:t>4.</w:t>
      </w:r>
      <w:r w:rsidRPr="00D92D65">
        <w:rPr>
          <w:rFonts w:ascii="ˎ̥" w:eastAsia="宋体" w:hAnsi="ˎ̥" w:cs="Arial"/>
          <w:color w:val="000000"/>
          <w:kern w:val="0"/>
          <w:sz w:val="18"/>
          <w:szCs w:val="18"/>
        </w:rPr>
        <w:t>与遗传性疾病相关的试剂；</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w:t>
      </w:r>
      <w:r w:rsidRPr="00D92D65">
        <w:rPr>
          <w:rFonts w:ascii="ˎ̥" w:eastAsia="宋体" w:hAnsi="ˎ̥" w:cs="Arial"/>
          <w:color w:val="000000"/>
          <w:kern w:val="0"/>
          <w:sz w:val="18"/>
          <w:szCs w:val="18"/>
        </w:rPr>
        <w:t>5.</w:t>
      </w:r>
      <w:r w:rsidRPr="00D92D65">
        <w:rPr>
          <w:rFonts w:ascii="ˎ̥" w:eastAsia="宋体" w:hAnsi="ˎ̥" w:cs="Arial"/>
          <w:color w:val="000000"/>
          <w:kern w:val="0"/>
          <w:sz w:val="18"/>
          <w:szCs w:val="18"/>
        </w:rPr>
        <w:t>与麻醉药品、精神药品、医疗用毒性药品检测相关的试剂；</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w:t>
      </w:r>
      <w:r w:rsidRPr="00D92D65">
        <w:rPr>
          <w:rFonts w:ascii="ˎ̥" w:eastAsia="宋体" w:hAnsi="ˎ̥" w:cs="Arial"/>
          <w:color w:val="000000"/>
          <w:kern w:val="0"/>
          <w:sz w:val="18"/>
          <w:szCs w:val="18"/>
        </w:rPr>
        <w:t>6.</w:t>
      </w:r>
      <w:r w:rsidRPr="00D92D65">
        <w:rPr>
          <w:rFonts w:ascii="ˎ̥" w:eastAsia="宋体" w:hAnsi="ˎ̥" w:cs="Arial"/>
          <w:color w:val="000000"/>
          <w:kern w:val="0"/>
          <w:sz w:val="18"/>
          <w:szCs w:val="18"/>
        </w:rPr>
        <w:t>与治疗药物作用靶点检测相关的试剂</w:t>
      </w:r>
      <w:r w:rsidRPr="00D92D65">
        <w:rPr>
          <w:rFonts w:ascii="ˎ̥" w:eastAsia="宋体" w:hAnsi="ˎ̥" w:cs="Arial"/>
          <w:color w:val="000000"/>
          <w:kern w:val="0"/>
          <w:sz w:val="18"/>
          <w:szCs w:val="18"/>
        </w:rPr>
        <w:t>;</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w:t>
      </w:r>
      <w:r w:rsidRPr="00D92D65">
        <w:rPr>
          <w:rFonts w:ascii="ˎ̥" w:eastAsia="宋体" w:hAnsi="ˎ̥" w:cs="Arial"/>
          <w:color w:val="000000"/>
          <w:kern w:val="0"/>
          <w:sz w:val="18"/>
          <w:szCs w:val="18"/>
        </w:rPr>
        <w:t>7.</w:t>
      </w:r>
      <w:r w:rsidRPr="00D92D65">
        <w:rPr>
          <w:rFonts w:ascii="ˎ̥" w:eastAsia="宋体" w:hAnsi="ˎ̥" w:cs="Arial"/>
          <w:color w:val="000000"/>
          <w:kern w:val="0"/>
          <w:sz w:val="18"/>
          <w:szCs w:val="18"/>
        </w:rPr>
        <w:t>与肿瘤标志物检测相关的试剂</w:t>
      </w:r>
      <w:r w:rsidRPr="00D92D65">
        <w:rPr>
          <w:rFonts w:ascii="ˎ̥" w:eastAsia="宋体" w:hAnsi="ˎ̥" w:cs="Arial"/>
          <w:color w:val="000000"/>
          <w:kern w:val="0"/>
          <w:sz w:val="18"/>
          <w:szCs w:val="18"/>
        </w:rPr>
        <w:t>;</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w:t>
      </w:r>
      <w:r w:rsidRPr="00D92D65">
        <w:rPr>
          <w:rFonts w:ascii="ˎ̥" w:eastAsia="宋体" w:hAnsi="ˎ̥" w:cs="Arial"/>
          <w:color w:val="000000"/>
          <w:kern w:val="0"/>
          <w:sz w:val="18"/>
          <w:szCs w:val="18"/>
        </w:rPr>
        <w:t>8.</w:t>
      </w:r>
      <w:r w:rsidRPr="00D92D65">
        <w:rPr>
          <w:rFonts w:ascii="ˎ̥" w:eastAsia="宋体" w:hAnsi="ˎ̥" w:cs="Arial"/>
          <w:color w:val="000000"/>
          <w:kern w:val="0"/>
          <w:sz w:val="18"/>
          <w:szCs w:val="18"/>
        </w:rPr>
        <w:t>与变态反应（过敏原）相关的试剂。</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lastRenderedPageBreak/>
        <w:t xml:space="preserve">　　第十八条　第十七条所列的第二类产品如用于肿瘤的诊断、辅助诊断、治疗过程的监测，或者用于遗传性疾病的诊断、辅助诊断等，按第三类产品注册管理。用于药物及药物代谢物检测的试剂，如该药物属于麻醉药品、精神药品或者医疗用毒性药品范围的，按第三类产品注册管理。</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第十九条　校准品、</w:t>
      </w:r>
      <w:proofErr w:type="gramStart"/>
      <w:r w:rsidRPr="00D92D65">
        <w:rPr>
          <w:rFonts w:ascii="ˎ̥" w:eastAsia="宋体" w:hAnsi="ˎ̥" w:cs="Arial"/>
          <w:color w:val="000000"/>
          <w:kern w:val="0"/>
          <w:sz w:val="18"/>
          <w:szCs w:val="18"/>
        </w:rPr>
        <w:t>质控品可以</w:t>
      </w:r>
      <w:proofErr w:type="gramEnd"/>
      <w:r w:rsidRPr="00D92D65">
        <w:rPr>
          <w:rFonts w:ascii="ˎ̥" w:eastAsia="宋体" w:hAnsi="ˎ̥" w:cs="Arial"/>
          <w:color w:val="000000"/>
          <w:kern w:val="0"/>
          <w:sz w:val="18"/>
          <w:szCs w:val="18"/>
        </w:rPr>
        <w:t>与配合使用的体外诊断试剂合并申请注册，也可以单独申请注册。</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与第一类体外诊断试剂配合使用的校准品、质控品，按第二类产品进行注册；与第二类、第三类体外诊断试剂配合使用的校准品、</w:t>
      </w:r>
      <w:proofErr w:type="gramStart"/>
      <w:r w:rsidRPr="00D92D65">
        <w:rPr>
          <w:rFonts w:ascii="ˎ̥" w:eastAsia="宋体" w:hAnsi="ˎ̥" w:cs="Arial"/>
          <w:color w:val="000000"/>
          <w:kern w:val="0"/>
          <w:sz w:val="18"/>
          <w:szCs w:val="18"/>
        </w:rPr>
        <w:t>质控品单独</w:t>
      </w:r>
      <w:proofErr w:type="gramEnd"/>
      <w:r w:rsidRPr="00D92D65">
        <w:rPr>
          <w:rFonts w:ascii="ˎ̥" w:eastAsia="宋体" w:hAnsi="ˎ̥" w:cs="Arial"/>
          <w:color w:val="000000"/>
          <w:kern w:val="0"/>
          <w:sz w:val="18"/>
          <w:szCs w:val="18"/>
        </w:rPr>
        <w:t>申请注册时，按与试剂相同的类别进行注册；多项校准品、质控品，按其中的高类别进行注册。</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第二十条　国家食品药品监督管理总局负责体外诊断试剂产品分类目录的制定和调整。</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对新研制的尚未列入体外诊断试剂分类目录的体外诊断试剂，申请人可以直接申请第三类体外诊断试剂产品注册，也可以依据分类规则判断产品类别向国家食品药品监督管理总局申请类别确认后，申请产品注册或者办理产品备案。</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直接申请第三类体外诊断试剂注册的，国家食品药品监督管理总局按照风险程度确定类别。境内体外诊断试剂确定为第二类的，国家食品药品监督管理总局将申报资料转申请人所在地省、自治区、直辖市食品药品监督管理部门审评审批；境内体外诊断试剂确定为第一类的，国家食品药品监督管理总局将申报资料转申请人所在地设区的市级食品药品监督管理部门备案。</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第二十一条　体外诊断试剂的命名应当遵循以下原则：</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体外诊断试剂的产品名称一般可以由三部分组成。第一部分：被测物质的名称；第二部分：用途，如诊断血清、测定试剂盒、</w:t>
      </w:r>
      <w:proofErr w:type="gramStart"/>
      <w:r w:rsidRPr="00D92D65">
        <w:rPr>
          <w:rFonts w:ascii="ˎ̥" w:eastAsia="宋体" w:hAnsi="ˎ̥" w:cs="Arial"/>
          <w:color w:val="000000"/>
          <w:kern w:val="0"/>
          <w:sz w:val="18"/>
          <w:szCs w:val="18"/>
        </w:rPr>
        <w:t>质控品等</w:t>
      </w:r>
      <w:proofErr w:type="gramEnd"/>
      <w:r w:rsidRPr="00D92D65">
        <w:rPr>
          <w:rFonts w:ascii="ˎ̥" w:eastAsia="宋体" w:hAnsi="ˎ̥" w:cs="Arial"/>
          <w:color w:val="000000"/>
          <w:kern w:val="0"/>
          <w:sz w:val="18"/>
          <w:szCs w:val="18"/>
        </w:rPr>
        <w:t>；第三部分：方法或者原理，</w:t>
      </w:r>
      <w:proofErr w:type="gramStart"/>
      <w:r w:rsidRPr="00D92D65">
        <w:rPr>
          <w:rFonts w:ascii="ˎ̥" w:eastAsia="宋体" w:hAnsi="ˎ̥" w:cs="Arial"/>
          <w:color w:val="000000"/>
          <w:kern w:val="0"/>
          <w:sz w:val="18"/>
          <w:szCs w:val="18"/>
        </w:rPr>
        <w:t>如酶联</w:t>
      </w:r>
      <w:proofErr w:type="gramEnd"/>
      <w:r w:rsidRPr="00D92D65">
        <w:rPr>
          <w:rFonts w:ascii="ˎ̥" w:eastAsia="宋体" w:hAnsi="ˎ̥" w:cs="Arial"/>
          <w:color w:val="000000"/>
          <w:kern w:val="0"/>
          <w:sz w:val="18"/>
          <w:szCs w:val="18"/>
        </w:rPr>
        <w:t>免疫吸附法、胶体金法等，本部分应当在括号中列出。</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如果被测物组分较多或者有其他特殊情况，可以采用与产品相关的适应症名称或者其他替代名称。</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第一类产品和校准品、质控品，依据其预期用途进行命名。</w:t>
      </w:r>
    </w:p>
    <w:p w:rsidR="00D92D65" w:rsidRPr="00D92D65" w:rsidRDefault="00D92D65" w:rsidP="00D92D65">
      <w:pPr>
        <w:widowControl/>
        <w:wordWrap w:val="0"/>
        <w:spacing w:before="100" w:beforeAutospacing="1" w:after="100" w:afterAutospacing="1" w:line="480" w:lineRule="auto"/>
        <w:jc w:val="center"/>
        <w:rPr>
          <w:rFonts w:ascii="ˎ̥" w:eastAsia="宋体" w:hAnsi="ˎ̥" w:cs="Arial"/>
          <w:color w:val="000000"/>
          <w:kern w:val="0"/>
          <w:sz w:val="18"/>
          <w:szCs w:val="18"/>
        </w:rPr>
      </w:pPr>
      <w:r w:rsidRPr="00D92D65">
        <w:rPr>
          <w:rFonts w:ascii="ˎ̥" w:eastAsia="宋体" w:hAnsi="ˎ̥" w:cs="Arial"/>
          <w:color w:val="000000"/>
          <w:kern w:val="0"/>
          <w:sz w:val="18"/>
          <w:szCs w:val="18"/>
        </w:rPr>
        <w:lastRenderedPageBreak/>
        <w:t>第四章　产品技术要求和注册检验</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第二十二条　申请人或者备案人应当在原材料质量和生产工艺稳定的前提下，根据产品研制、临床评价等结果，依据国家标准、行业标准及有关文献资料，拟订产品技术要求。</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产品技术要求主要包括体外诊断试剂成品的性能指标和检验方法，其中性能指标是指可进行客观判定的成品的功能性、安全性指标以及与质量控制相关的其他指标。</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第三类体外诊断试剂的产品技术要求中应当以附录形式明确主要原材料、生产工艺及半成品要求。</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第一类体外诊断试剂的产品技术要求由备案人办理备案时提交食品药品监督管理部门。第二类、第三类体外诊断试剂的产品技术要求由食品药品监督管理部门在批准注册时予以核准。</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在中国上市的体外诊断试剂应当符合经注册核准或者备案的产品技术要求。</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第二十三条　申请第二类、第三类体外诊断试剂注册，应当进行注册检验；第三类产品应当进行连续</w:t>
      </w:r>
      <w:r w:rsidRPr="00D92D65">
        <w:rPr>
          <w:rFonts w:ascii="ˎ̥" w:eastAsia="宋体" w:hAnsi="ˎ̥" w:cs="Arial"/>
          <w:color w:val="000000"/>
          <w:kern w:val="0"/>
          <w:sz w:val="18"/>
          <w:szCs w:val="18"/>
        </w:rPr>
        <w:t>3</w:t>
      </w:r>
      <w:r w:rsidRPr="00D92D65">
        <w:rPr>
          <w:rFonts w:ascii="ˎ̥" w:eastAsia="宋体" w:hAnsi="ˎ̥" w:cs="Arial"/>
          <w:color w:val="000000"/>
          <w:kern w:val="0"/>
          <w:sz w:val="18"/>
          <w:szCs w:val="18"/>
        </w:rPr>
        <w:t>个生产批次样品的注册检验。医疗器械检验机构应当依据产品技术要求对相关产品进行检验。</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注册检验样品的生产应当符合医疗器械质量管理体系的相关要求，注册检验合格的方可进行临床试验或者申请注册。</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办理第一类体外诊断试剂备案的，备案人可以提交产品自检报告。</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第二十四条　申请注册检验，申请人应当向检验机构提供注册检验所需要的有关技术资料、注册检验用样品、产品技术要求及标准品或者参考品。</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境内申请人的注册检验用样品由食品药品监督管理部门抽取。</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第二十五条　有国家标准品、参考品的产品应当使用国家标准品、参考品进行注册检验。中国食品药品检定研究院负责组织国家标准品、参考品的制备和标定工作。</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lastRenderedPageBreak/>
        <w:t xml:space="preserve">　　第二十六条　医疗器械检验机构应当具有医疗器械检验资质、在其承检范围内进行检验，并对申请人提交的产品技术要求进行预评价。</w:t>
      </w:r>
      <w:proofErr w:type="gramStart"/>
      <w:r w:rsidRPr="00D92D65">
        <w:rPr>
          <w:rFonts w:ascii="ˎ̥" w:eastAsia="宋体" w:hAnsi="ˎ̥" w:cs="Arial"/>
          <w:color w:val="000000"/>
          <w:kern w:val="0"/>
          <w:sz w:val="18"/>
          <w:szCs w:val="18"/>
        </w:rPr>
        <w:t>预评价意见随注册</w:t>
      </w:r>
      <w:proofErr w:type="gramEnd"/>
      <w:r w:rsidRPr="00D92D65">
        <w:rPr>
          <w:rFonts w:ascii="ˎ̥" w:eastAsia="宋体" w:hAnsi="ˎ̥" w:cs="Arial"/>
          <w:color w:val="000000"/>
          <w:kern w:val="0"/>
          <w:sz w:val="18"/>
          <w:szCs w:val="18"/>
        </w:rPr>
        <w:t>检验报告一同出具给申请人。</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尚未列入医疗器械检验机构承检范围的产品，由相应的注册审批部门指定有能力的检验机构进行检验。</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第二十七条　同一注册申请包括不同包装规格时，可以只进行一种包装规格产品的注册检验。</w:t>
      </w:r>
    </w:p>
    <w:p w:rsidR="00D92D65" w:rsidRPr="00D92D65" w:rsidRDefault="00D92D65" w:rsidP="00D92D65">
      <w:pPr>
        <w:widowControl/>
        <w:wordWrap w:val="0"/>
        <w:spacing w:before="100" w:beforeAutospacing="1" w:after="100" w:afterAutospacing="1" w:line="480" w:lineRule="auto"/>
        <w:jc w:val="center"/>
        <w:rPr>
          <w:rFonts w:ascii="ˎ̥" w:eastAsia="宋体" w:hAnsi="ˎ̥" w:cs="Arial"/>
          <w:color w:val="000000"/>
          <w:kern w:val="0"/>
          <w:sz w:val="18"/>
          <w:szCs w:val="18"/>
        </w:rPr>
      </w:pPr>
      <w:r w:rsidRPr="00D92D65">
        <w:rPr>
          <w:rFonts w:ascii="ˎ̥" w:eastAsia="宋体" w:hAnsi="ˎ̥" w:cs="Arial"/>
          <w:color w:val="000000"/>
          <w:kern w:val="0"/>
          <w:sz w:val="18"/>
          <w:szCs w:val="18"/>
        </w:rPr>
        <w:t>第五章　临床评价</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第二十八条　体外诊断试剂临床评价是指申请人或者备案人通过临床文献资料、临床经验数据、临床试验等信息对产品是否满足使用要求或者预期用途进行确认的过程。</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第二十九条　临床评价资料是指申请人或者备案人进行临床评价所形成的文件。</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体外诊断试剂临床试验（包括与已上市产品进行的比较研究试验）是指在相应的临床环境中，对体外诊断试剂的临床性能进行的系统性研究。</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无需进行临床试验的体外诊断试剂，申请人或者备案人应当通过对涵盖预期用途及干扰因素的临床样本的评估、综合文献资料等非临床试验的方式对体外诊断试剂的临床性能进行评价。申请人或者备案人应当保证评价所用的临床样本具有可追溯性。</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第三十条　办理第一类体外诊断试剂备案，不需进行临床试验。申请第二类、第三类体外诊断试剂注册，应当进行临床试验。</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有下列情形之一的，可以免于进行临床试验：</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（一）反应原理明确、设计定型、生产工艺成熟，已上市的同品种体外诊断试剂临床应用多年且无严重不良事件记录，不改变常规用途，申请人能够提供与已上市产品等效性评价数据的；</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（二）通过对涵盖预期用途及干扰因素的临床样本的评价能够证明该体外诊断试剂安全、有效的。</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免于进行临床试验的体外诊断试剂目录由国家食品药品监督管理总局制定、调整并公布。</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lastRenderedPageBreak/>
        <w:t xml:space="preserve">　　第三十一条　同一注册申请包括不同包装规格时，可以只采用一种包装规格的样品进行临床评价。</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第三十二条　第三类产品申请人应当选定不少于</w:t>
      </w:r>
      <w:r w:rsidRPr="00D92D65">
        <w:rPr>
          <w:rFonts w:ascii="ˎ̥" w:eastAsia="宋体" w:hAnsi="ˎ̥" w:cs="Arial"/>
          <w:color w:val="000000"/>
          <w:kern w:val="0"/>
          <w:sz w:val="18"/>
          <w:szCs w:val="18"/>
        </w:rPr>
        <w:t>3</w:t>
      </w:r>
      <w:r w:rsidRPr="00D92D65">
        <w:rPr>
          <w:rFonts w:ascii="ˎ̥" w:eastAsia="宋体" w:hAnsi="ˎ̥" w:cs="Arial"/>
          <w:color w:val="000000"/>
          <w:kern w:val="0"/>
          <w:sz w:val="18"/>
          <w:szCs w:val="18"/>
        </w:rPr>
        <w:t>家（含</w:t>
      </w:r>
      <w:r w:rsidRPr="00D92D65">
        <w:rPr>
          <w:rFonts w:ascii="ˎ̥" w:eastAsia="宋体" w:hAnsi="ˎ̥" w:cs="Arial"/>
          <w:color w:val="000000"/>
          <w:kern w:val="0"/>
          <w:sz w:val="18"/>
          <w:szCs w:val="18"/>
        </w:rPr>
        <w:t>3</w:t>
      </w:r>
      <w:r w:rsidRPr="00D92D65">
        <w:rPr>
          <w:rFonts w:ascii="ˎ̥" w:eastAsia="宋体" w:hAnsi="ˎ̥" w:cs="Arial"/>
          <w:color w:val="000000"/>
          <w:kern w:val="0"/>
          <w:sz w:val="18"/>
          <w:szCs w:val="18"/>
        </w:rPr>
        <w:t>家）、第二类产品申请人应当选定不少于</w:t>
      </w:r>
      <w:r w:rsidRPr="00D92D65">
        <w:rPr>
          <w:rFonts w:ascii="ˎ̥" w:eastAsia="宋体" w:hAnsi="ˎ̥" w:cs="Arial"/>
          <w:color w:val="000000"/>
          <w:kern w:val="0"/>
          <w:sz w:val="18"/>
          <w:szCs w:val="18"/>
        </w:rPr>
        <w:t>2</w:t>
      </w:r>
      <w:r w:rsidRPr="00D92D65">
        <w:rPr>
          <w:rFonts w:ascii="ˎ̥" w:eastAsia="宋体" w:hAnsi="ˎ̥" w:cs="Arial"/>
          <w:color w:val="000000"/>
          <w:kern w:val="0"/>
          <w:sz w:val="18"/>
          <w:szCs w:val="18"/>
        </w:rPr>
        <w:t>家（含</w:t>
      </w:r>
      <w:r w:rsidRPr="00D92D65">
        <w:rPr>
          <w:rFonts w:ascii="ˎ̥" w:eastAsia="宋体" w:hAnsi="ˎ̥" w:cs="Arial"/>
          <w:color w:val="000000"/>
          <w:kern w:val="0"/>
          <w:sz w:val="18"/>
          <w:szCs w:val="18"/>
        </w:rPr>
        <w:t>2</w:t>
      </w:r>
      <w:r w:rsidRPr="00D92D65">
        <w:rPr>
          <w:rFonts w:ascii="ˎ̥" w:eastAsia="宋体" w:hAnsi="ˎ̥" w:cs="Arial"/>
          <w:color w:val="000000"/>
          <w:kern w:val="0"/>
          <w:sz w:val="18"/>
          <w:szCs w:val="18"/>
        </w:rPr>
        <w:t>家）取得资质的临床试验机构，按照有关规定开展临床试验。临床试验样品的生产应当符合医疗器械质量管理体系的相关要求。</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第三十三条　申请人应当与临床试验机构签订临床试验合同，参考相关技术指导原则制定并完善临床试验方案，免费提供临床试验用样品，并承担临床试验费用。</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第三十四条　临床试验病例数应当根据临床试验目的、统计学要求，并参照相关技术指导原则确定。临床试验技术指导原则另行发布。</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用于罕见疾病以及应对突发公共卫生事件急需的体外诊断试剂，要求减少临床试验病例数或者免做临床试验的，申请人应当在提交注册申报资料的同时，提出减免临床试验的申请，并详细说明理由。食品药品监督管理部门技术审评机构对注册申报资料进行全面的技术审评后予以确定，需要补充临床试验的，以补正资料的方式通知申请人。</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第三十五条　申请进口体外诊断试剂注册，需要提供境外的临床评价资料。申请人应当按照临床评价的要求，同时考虑不同国家或者地区的流行病学背景、不同病种的特性、不同种属人群所适用的阳性判断</w:t>
      </w:r>
      <w:proofErr w:type="gramStart"/>
      <w:r w:rsidRPr="00D92D65">
        <w:rPr>
          <w:rFonts w:ascii="ˎ̥" w:eastAsia="宋体" w:hAnsi="ˎ̥" w:cs="Arial"/>
          <w:color w:val="000000"/>
          <w:kern w:val="0"/>
          <w:sz w:val="18"/>
          <w:szCs w:val="18"/>
        </w:rPr>
        <w:t>值或者</w:t>
      </w:r>
      <w:proofErr w:type="gramEnd"/>
      <w:r w:rsidRPr="00D92D65">
        <w:rPr>
          <w:rFonts w:ascii="ˎ̥" w:eastAsia="宋体" w:hAnsi="ˎ̥" w:cs="Arial"/>
          <w:color w:val="000000"/>
          <w:kern w:val="0"/>
          <w:sz w:val="18"/>
          <w:szCs w:val="18"/>
        </w:rPr>
        <w:t>参考区间等因素，在中国境内进行具有针对性的临床评价。</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第三十六条　临床试验机构完成临床试验后，应当分别出具临床试验报告。申请人或者临床试验牵头单位根据相关技术指导原则，对临床试验结果进行汇总，完成临床试验总结报告。</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第三十七条　由消费者个人自行使用的体外诊断试剂，在临床试验时，应当包含无医学背景的消费者对产品说明书认知能力的评价。</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lastRenderedPageBreak/>
        <w:t xml:space="preserve">　　第三十八条　申请人发现临床试验机构违反有关规定或者未执行临床试验方案的，应当督促其改正；情节严重的，可以要求暂停或者终止临床试验，并向临床试验机构所在地省、自治区、直辖市食品药品监督管理部门和国家食品药品监督管理总局报告。</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第三十九条　参加临床试验的机构及人员，对申请人违反有关规定或者要求改变试验数据、结论的，应当向申请人所在地省、自治区、直辖市食品药品监督管理部门和国家食品药品监督管理总局报告。</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第四十条　开展体外诊断试剂临床试验，应当向申请人所在地省、自治区、直辖市食品药品监督管理部门备案。接受备案的食品药品监督管理部门应当将备案情况通报临床试验机构所在地的同级食品药品监督管理部门和卫生计生主管部门。</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国家食品药品监督管理总局和省、自治区、直辖市食品药品监督管理部门根据需要对临床试验的实施情况进行监督检查。</w:t>
      </w:r>
    </w:p>
    <w:p w:rsidR="00D92D65" w:rsidRPr="00D92D65" w:rsidRDefault="00D92D65" w:rsidP="00D92D65">
      <w:pPr>
        <w:widowControl/>
        <w:wordWrap w:val="0"/>
        <w:spacing w:before="100" w:beforeAutospacing="1" w:after="100" w:afterAutospacing="1" w:line="480" w:lineRule="auto"/>
        <w:jc w:val="center"/>
        <w:rPr>
          <w:rFonts w:ascii="ˎ̥" w:eastAsia="宋体" w:hAnsi="ˎ̥" w:cs="Arial"/>
          <w:color w:val="000000"/>
          <w:kern w:val="0"/>
          <w:sz w:val="18"/>
          <w:szCs w:val="18"/>
        </w:rPr>
      </w:pPr>
      <w:r w:rsidRPr="00D92D65">
        <w:rPr>
          <w:rFonts w:ascii="ˎ̥" w:eastAsia="宋体" w:hAnsi="ˎ̥" w:cs="Arial"/>
          <w:color w:val="000000"/>
          <w:kern w:val="0"/>
          <w:sz w:val="18"/>
          <w:szCs w:val="18"/>
        </w:rPr>
        <w:t>第六章　产品注册</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第四十一条　申请体外诊断试剂注册，申请人应当按照相关要求向食品药品监督管理部门报送申报资料。</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第四十二条　食品药品监督管理部门收到申请后对申报资料进行形式审查，并根据下列情况分别</w:t>
      </w:r>
      <w:proofErr w:type="gramStart"/>
      <w:r w:rsidRPr="00D92D65">
        <w:rPr>
          <w:rFonts w:ascii="ˎ̥" w:eastAsia="宋体" w:hAnsi="ˎ̥" w:cs="Arial"/>
          <w:color w:val="000000"/>
          <w:kern w:val="0"/>
          <w:sz w:val="18"/>
          <w:szCs w:val="18"/>
        </w:rPr>
        <w:t>作出</w:t>
      </w:r>
      <w:proofErr w:type="gramEnd"/>
      <w:r w:rsidRPr="00D92D65">
        <w:rPr>
          <w:rFonts w:ascii="ˎ̥" w:eastAsia="宋体" w:hAnsi="ˎ̥" w:cs="Arial"/>
          <w:color w:val="000000"/>
          <w:kern w:val="0"/>
          <w:sz w:val="18"/>
          <w:szCs w:val="18"/>
        </w:rPr>
        <w:t>处理：</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（一）申请事项属于本部门职权范围，申报资料齐全、符合形式审查要求的，予以受理；</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（二）申报资料存在可以当场更正的错误的，应当允许申请人当场更正；</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（三）申报资料不齐全或者不符合形式审查要求的，应当在</w:t>
      </w:r>
      <w:r w:rsidRPr="00D92D65">
        <w:rPr>
          <w:rFonts w:ascii="ˎ̥" w:eastAsia="宋体" w:hAnsi="ˎ̥" w:cs="Arial"/>
          <w:color w:val="000000"/>
          <w:kern w:val="0"/>
          <w:sz w:val="18"/>
          <w:szCs w:val="18"/>
        </w:rPr>
        <w:t>5</w:t>
      </w:r>
      <w:r w:rsidRPr="00D92D65">
        <w:rPr>
          <w:rFonts w:ascii="ˎ̥" w:eastAsia="宋体" w:hAnsi="ˎ̥" w:cs="Arial"/>
          <w:color w:val="000000"/>
          <w:kern w:val="0"/>
          <w:sz w:val="18"/>
          <w:szCs w:val="18"/>
        </w:rPr>
        <w:t>个工作日内一次告知申请人需要补正的全部内容，逾期不告知的，自收到申报资料之日起即为受理；</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（四）申请事项不属于本部门职权范围的，应当即时告知申请人不予受理。</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lastRenderedPageBreak/>
        <w:t xml:space="preserve">　　食品药品监督管理部门受理或者不予受理体外诊断试剂注册申请，应当出具加盖本部门专用印章并注明日期的受理或者不予受理的通知书。</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第四十三条　受理注册申请的食品药品监督管理部门应当自受理之日起</w:t>
      </w:r>
      <w:r w:rsidRPr="00D92D65">
        <w:rPr>
          <w:rFonts w:ascii="ˎ̥" w:eastAsia="宋体" w:hAnsi="ˎ̥" w:cs="Arial"/>
          <w:color w:val="000000"/>
          <w:kern w:val="0"/>
          <w:sz w:val="18"/>
          <w:szCs w:val="18"/>
        </w:rPr>
        <w:t>3</w:t>
      </w:r>
      <w:r w:rsidRPr="00D92D65">
        <w:rPr>
          <w:rFonts w:ascii="ˎ̥" w:eastAsia="宋体" w:hAnsi="ˎ̥" w:cs="Arial"/>
          <w:color w:val="000000"/>
          <w:kern w:val="0"/>
          <w:sz w:val="18"/>
          <w:szCs w:val="18"/>
        </w:rPr>
        <w:t>个工作日内将申报资料转交技术审评机构。</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技术审评机构应当在</w:t>
      </w:r>
      <w:r w:rsidRPr="00D92D65">
        <w:rPr>
          <w:rFonts w:ascii="ˎ̥" w:eastAsia="宋体" w:hAnsi="ˎ̥" w:cs="Arial"/>
          <w:color w:val="000000"/>
          <w:kern w:val="0"/>
          <w:sz w:val="18"/>
          <w:szCs w:val="18"/>
        </w:rPr>
        <w:t>60</w:t>
      </w:r>
      <w:r w:rsidRPr="00D92D65">
        <w:rPr>
          <w:rFonts w:ascii="ˎ̥" w:eastAsia="宋体" w:hAnsi="ˎ̥" w:cs="Arial"/>
          <w:color w:val="000000"/>
          <w:kern w:val="0"/>
          <w:sz w:val="18"/>
          <w:szCs w:val="18"/>
        </w:rPr>
        <w:t>个工作日内完成第二类体外诊断试剂注册的技术审评工作，在</w:t>
      </w:r>
      <w:r w:rsidRPr="00D92D65">
        <w:rPr>
          <w:rFonts w:ascii="ˎ̥" w:eastAsia="宋体" w:hAnsi="ˎ̥" w:cs="Arial"/>
          <w:color w:val="000000"/>
          <w:kern w:val="0"/>
          <w:sz w:val="18"/>
          <w:szCs w:val="18"/>
        </w:rPr>
        <w:t>90</w:t>
      </w:r>
      <w:r w:rsidRPr="00D92D65">
        <w:rPr>
          <w:rFonts w:ascii="ˎ̥" w:eastAsia="宋体" w:hAnsi="ˎ̥" w:cs="Arial"/>
          <w:color w:val="000000"/>
          <w:kern w:val="0"/>
          <w:sz w:val="18"/>
          <w:szCs w:val="18"/>
        </w:rPr>
        <w:t>个工作日内完成第三类体外诊断试剂注册的技术审评工作。</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需要外聘专家审评的，所需时间不计算在内，技术审评机构应当将所需时间书面告知申请人。</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第四十四条　食品药品监督管理部门在组织产品技术审评时可以调阅原始研究资料</w:t>
      </w:r>
      <w:r w:rsidRPr="00D92D65">
        <w:rPr>
          <w:rFonts w:ascii="ˎ̥" w:eastAsia="宋体" w:hAnsi="ˎ̥" w:cs="Arial"/>
          <w:color w:val="000000"/>
          <w:kern w:val="0"/>
          <w:sz w:val="18"/>
          <w:szCs w:val="18"/>
        </w:rPr>
        <w:t>,</w:t>
      </w:r>
      <w:r w:rsidRPr="00D92D65">
        <w:rPr>
          <w:rFonts w:ascii="ˎ̥" w:eastAsia="宋体" w:hAnsi="ˎ̥" w:cs="Arial"/>
          <w:color w:val="000000"/>
          <w:kern w:val="0"/>
          <w:sz w:val="18"/>
          <w:szCs w:val="18"/>
        </w:rPr>
        <w:t>并组织对申请人进行与产品研制、生产有关的质量管理体系核查。</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境内第二类、第三类医疗器械注册质量管理体系核查，由省、自治区、直辖市食品药品监督管理部门开展，其中境内第三类医疗器械注册质量管理体系核查，由国家食品药品监督管理总局技术审评机构通知相应省、自治区、直辖市食品药品监督管理部门开展核查，必要时参与核查。省、自治区、直辖市食品药品监督管理部门应当在</w:t>
      </w:r>
      <w:r w:rsidRPr="00D92D65">
        <w:rPr>
          <w:rFonts w:ascii="ˎ̥" w:eastAsia="宋体" w:hAnsi="ˎ̥" w:cs="Arial"/>
          <w:color w:val="000000"/>
          <w:kern w:val="0"/>
          <w:sz w:val="18"/>
          <w:szCs w:val="18"/>
        </w:rPr>
        <w:t>30</w:t>
      </w:r>
      <w:r w:rsidRPr="00D92D65">
        <w:rPr>
          <w:rFonts w:ascii="ˎ̥" w:eastAsia="宋体" w:hAnsi="ˎ̥" w:cs="Arial"/>
          <w:color w:val="000000"/>
          <w:kern w:val="0"/>
          <w:sz w:val="18"/>
          <w:szCs w:val="18"/>
        </w:rPr>
        <w:t>个工作日内根据相关要求完成体系核查。</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国家食品药品监督管理总局技术审评机构在对进口第二类、第三类体外诊断试剂开展技术审评时，认为有必要进行质量管理体系核查的，通知国家食品药品监督管理总局质量管理体系检查技术机构根据相关要求开展核查，必要时技术审评机构参与核查。</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质量管理体系核查的时间不计算在审评时限内。</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第四十五条　技术审评过程中需要申请人补正资料的，技术审评机构应当一次告知需要补正的全部内容。申请人应当在１年内按照补正通知的要求一次提供补充资料；技术审评机构应当自收到补充资料之日起</w:t>
      </w:r>
      <w:r w:rsidRPr="00D92D65">
        <w:rPr>
          <w:rFonts w:ascii="ˎ̥" w:eastAsia="宋体" w:hAnsi="ˎ̥" w:cs="Arial"/>
          <w:color w:val="000000"/>
          <w:kern w:val="0"/>
          <w:sz w:val="18"/>
          <w:szCs w:val="18"/>
        </w:rPr>
        <w:t>60</w:t>
      </w:r>
      <w:r w:rsidRPr="00D92D65">
        <w:rPr>
          <w:rFonts w:ascii="ˎ̥" w:eastAsia="宋体" w:hAnsi="ˎ̥" w:cs="Arial"/>
          <w:color w:val="000000"/>
          <w:kern w:val="0"/>
          <w:sz w:val="18"/>
          <w:szCs w:val="18"/>
        </w:rPr>
        <w:t>个工作日内完成技术审评。申请人补充资料的时间不计算在审评时限内。</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申请人对补正资料通知内容有异议的，可以向相应的技术审评机构提出书面意见，说明理由并提供相</w:t>
      </w:r>
      <w:r w:rsidRPr="00D92D65">
        <w:rPr>
          <w:rFonts w:ascii="ˎ̥" w:eastAsia="宋体" w:hAnsi="ˎ̥" w:cs="Arial"/>
          <w:color w:val="000000"/>
          <w:kern w:val="0"/>
          <w:sz w:val="18"/>
          <w:szCs w:val="18"/>
        </w:rPr>
        <w:lastRenderedPageBreak/>
        <w:t>应的技术支持资料。</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申请人逾期未提交补充资料的，由技术审评机构终止技术审评，提出不予注册的建议，由食品药品监督管理部门核准后作出不予注册的决定。</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第四十六条　受理注册申请的食品药品监督管理部门应当在技术审评结束后</w:t>
      </w:r>
      <w:r w:rsidRPr="00D92D65">
        <w:rPr>
          <w:rFonts w:ascii="ˎ̥" w:eastAsia="宋体" w:hAnsi="ˎ̥" w:cs="Arial"/>
          <w:color w:val="000000"/>
          <w:kern w:val="0"/>
          <w:sz w:val="18"/>
          <w:szCs w:val="18"/>
        </w:rPr>
        <w:t>20</w:t>
      </w:r>
      <w:r w:rsidRPr="00D92D65">
        <w:rPr>
          <w:rFonts w:ascii="ˎ̥" w:eastAsia="宋体" w:hAnsi="ˎ̥" w:cs="Arial"/>
          <w:color w:val="000000"/>
          <w:kern w:val="0"/>
          <w:sz w:val="18"/>
          <w:szCs w:val="18"/>
        </w:rPr>
        <w:t>个工作日内</w:t>
      </w:r>
      <w:proofErr w:type="gramStart"/>
      <w:r w:rsidRPr="00D92D65">
        <w:rPr>
          <w:rFonts w:ascii="ˎ̥" w:eastAsia="宋体" w:hAnsi="ˎ̥" w:cs="Arial"/>
          <w:color w:val="000000"/>
          <w:kern w:val="0"/>
          <w:sz w:val="18"/>
          <w:szCs w:val="18"/>
        </w:rPr>
        <w:t>作出</w:t>
      </w:r>
      <w:proofErr w:type="gramEnd"/>
      <w:r w:rsidRPr="00D92D65">
        <w:rPr>
          <w:rFonts w:ascii="ˎ̥" w:eastAsia="宋体" w:hAnsi="ˎ̥" w:cs="Arial"/>
          <w:color w:val="000000"/>
          <w:kern w:val="0"/>
          <w:sz w:val="18"/>
          <w:szCs w:val="18"/>
        </w:rPr>
        <w:t>决定。对符合安全、有效要求的，准予注册，自</w:t>
      </w:r>
      <w:proofErr w:type="gramStart"/>
      <w:r w:rsidRPr="00D92D65">
        <w:rPr>
          <w:rFonts w:ascii="ˎ̥" w:eastAsia="宋体" w:hAnsi="ˎ̥" w:cs="Arial"/>
          <w:color w:val="000000"/>
          <w:kern w:val="0"/>
          <w:sz w:val="18"/>
          <w:szCs w:val="18"/>
        </w:rPr>
        <w:t>作出</w:t>
      </w:r>
      <w:proofErr w:type="gramEnd"/>
      <w:r w:rsidRPr="00D92D65">
        <w:rPr>
          <w:rFonts w:ascii="ˎ̥" w:eastAsia="宋体" w:hAnsi="ˎ̥" w:cs="Arial"/>
          <w:color w:val="000000"/>
          <w:kern w:val="0"/>
          <w:sz w:val="18"/>
          <w:szCs w:val="18"/>
        </w:rPr>
        <w:t>审批决定之日起</w:t>
      </w:r>
      <w:r w:rsidRPr="00D92D65">
        <w:rPr>
          <w:rFonts w:ascii="ˎ̥" w:eastAsia="宋体" w:hAnsi="ˎ̥" w:cs="Arial"/>
          <w:color w:val="000000"/>
          <w:kern w:val="0"/>
          <w:sz w:val="18"/>
          <w:szCs w:val="18"/>
        </w:rPr>
        <w:t>10</w:t>
      </w:r>
      <w:r w:rsidRPr="00D92D65">
        <w:rPr>
          <w:rFonts w:ascii="ˎ̥" w:eastAsia="宋体" w:hAnsi="ˎ̥" w:cs="Arial"/>
          <w:color w:val="000000"/>
          <w:kern w:val="0"/>
          <w:sz w:val="18"/>
          <w:szCs w:val="18"/>
        </w:rPr>
        <w:t>个工作日内发给医疗器械注册证，经过核准的产品技术要求和产品说明书以附件形式发给申请人。对不予注册的，应当书面说明理由</w:t>
      </w:r>
      <w:r w:rsidRPr="00D92D65">
        <w:rPr>
          <w:rFonts w:ascii="ˎ̥" w:eastAsia="宋体" w:hAnsi="ˎ̥" w:cs="Arial"/>
          <w:color w:val="000000"/>
          <w:kern w:val="0"/>
          <w:sz w:val="18"/>
          <w:szCs w:val="18"/>
        </w:rPr>
        <w:t>,</w:t>
      </w:r>
      <w:r w:rsidRPr="00D92D65">
        <w:rPr>
          <w:rFonts w:ascii="ˎ̥" w:eastAsia="宋体" w:hAnsi="ˎ̥" w:cs="Arial"/>
          <w:color w:val="000000"/>
          <w:kern w:val="0"/>
          <w:sz w:val="18"/>
          <w:szCs w:val="18"/>
        </w:rPr>
        <w:t>并同时告知申请人享有申请复审和依法申请行政复议或者提起行政诉讼的权利。</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医疗器械注册证有效期为</w:t>
      </w:r>
      <w:r w:rsidRPr="00D92D65">
        <w:rPr>
          <w:rFonts w:ascii="ˎ̥" w:eastAsia="宋体" w:hAnsi="ˎ̥" w:cs="Arial"/>
          <w:color w:val="000000"/>
          <w:kern w:val="0"/>
          <w:sz w:val="18"/>
          <w:szCs w:val="18"/>
        </w:rPr>
        <w:t>5</w:t>
      </w:r>
      <w:r w:rsidRPr="00D92D65">
        <w:rPr>
          <w:rFonts w:ascii="ˎ̥" w:eastAsia="宋体" w:hAnsi="ˎ̥" w:cs="Arial"/>
          <w:color w:val="000000"/>
          <w:kern w:val="0"/>
          <w:sz w:val="18"/>
          <w:szCs w:val="18"/>
        </w:rPr>
        <w:t>年。</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第四十七条　体外诊断试剂注册事项包括许可事项和登记事项。许可事项包括产品名称、包装规格、主要组成成分、预期用途、产品技术要求、产品说明书、产品有效期、进口体外诊断试剂的生产地址等；登记事项包括注册人名称和住所、代理人名称和住所、境内体外诊断试剂的生产地址等。</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第四十八条　对用于罕见疾病以及应对突发公共卫生事件急需的体外诊断试剂，食品药品监督管理部门可以在批准该体外诊断试剂注册时要求申请人在产品上市后进一步完成相关工作，并将要求载明于医疗器械注册证中。</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第四十九条　对于已受理的注册申请，有下列情形之一的，食品药品监督管理部门</w:t>
      </w:r>
      <w:proofErr w:type="gramStart"/>
      <w:r w:rsidRPr="00D92D65">
        <w:rPr>
          <w:rFonts w:ascii="ˎ̥" w:eastAsia="宋体" w:hAnsi="ˎ̥" w:cs="Arial"/>
          <w:color w:val="000000"/>
          <w:kern w:val="0"/>
          <w:sz w:val="18"/>
          <w:szCs w:val="18"/>
        </w:rPr>
        <w:t>作出</w:t>
      </w:r>
      <w:proofErr w:type="gramEnd"/>
      <w:r w:rsidRPr="00D92D65">
        <w:rPr>
          <w:rFonts w:ascii="ˎ̥" w:eastAsia="宋体" w:hAnsi="ˎ̥" w:cs="Arial"/>
          <w:color w:val="000000"/>
          <w:kern w:val="0"/>
          <w:sz w:val="18"/>
          <w:szCs w:val="18"/>
        </w:rPr>
        <w:t>不予注册的决定，并告知申请人：</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（一）申请人对拟上市销售体外诊断试剂的安全性、有效性进行的研究及其结果无法证明产品安全、有效的；</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（二）注册申报资料虚假的；</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（三）注册申报资料内容混乱、矛盾的；</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lastRenderedPageBreak/>
        <w:t xml:space="preserve">　　（四）注册申报资料的内容与申报项目明显不符的；</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（五）不予注册的其他情形。</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第五十条　对于已受理的注册申请，申请人可以在行政许可决定</w:t>
      </w:r>
      <w:proofErr w:type="gramStart"/>
      <w:r w:rsidRPr="00D92D65">
        <w:rPr>
          <w:rFonts w:ascii="ˎ̥" w:eastAsia="宋体" w:hAnsi="ˎ̥" w:cs="Arial"/>
          <w:color w:val="000000"/>
          <w:kern w:val="0"/>
          <w:sz w:val="18"/>
          <w:szCs w:val="18"/>
        </w:rPr>
        <w:t>作出</w:t>
      </w:r>
      <w:proofErr w:type="gramEnd"/>
      <w:r w:rsidRPr="00D92D65">
        <w:rPr>
          <w:rFonts w:ascii="ˎ̥" w:eastAsia="宋体" w:hAnsi="ˎ̥" w:cs="Arial"/>
          <w:color w:val="000000"/>
          <w:kern w:val="0"/>
          <w:sz w:val="18"/>
          <w:szCs w:val="18"/>
        </w:rPr>
        <w:t>前，向受理该申请的食品药品监督管理部门申请撤回注册申请及相关资料，并说明理由。</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第五十一条　对于已受理的注册申请，有证据表明注册申报资料可能虚假的，食品药品监督管理部门可以中止审批。经核实后，根据核实结论继续审查或者</w:t>
      </w:r>
      <w:proofErr w:type="gramStart"/>
      <w:r w:rsidRPr="00D92D65">
        <w:rPr>
          <w:rFonts w:ascii="ˎ̥" w:eastAsia="宋体" w:hAnsi="ˎ̥" w:cs="Arial"/>
          <w:color w:val="000000"/>
          <w:kern w:val="0"/>
          <w:sz w:val="18"/>
          <w:szCs w:val="18"/>
        </w:rPr>
        <w:t>作出</w:t>
      </w:r>
      <w:proofErr w:type="gramEnd"/>
      <w:r w:rsidRPr="00D92D65">
        <w:rPr>
          <w:rFonts w:ascii="ˎ̥" w:eastAsia="宋体" w:hAnsi="ˎ̥" w:cs="Arial"/>
          <w:color w:val="000000"/>
          <w:kern w:val="0"/>
          <w:sz w:val="18"/>
          <w:szCs w:val="18"/>
        </w:rPr>
        <w:t>不予注册的决定。</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第五十二条　申请人对食品药品监督管理部门</w:t>
      </w:r>
      <w:proofErr w:type="gramStart"/>
      <w:r w:rsidRPr="00D92D65">
        <w:rPr>
          <w:rFonts w:ascii="ˎ̥" w:eastAsia="宋体" w:hAnsi="ˎ̥" w:cs="Arial"/>
          <w:color w:val="000000"/>
          <w:kern w:val="0"/>
          <w:sz w:val="18"/>
          <w:szCs w:val="18"/>
        </w:rPr>
        <w:t>作出</w:t>
      </w:r>
      <w:proofErr w:type="gramEnd"/>
      <w:r w:rsidRPr="00D92D65">
        <w:rPr>
          <w:rFonts w:ascii="ˎ̥" w:eastAsia="宋体" w:hAnsi="ˎ̥" w:cs="Arial"/>
          <w:color w:val="000000"/>
          <w:kern w:val="0"/>
          <w:sz w:val="18"/>
          <w:szCs w:val="18"/>
        </w:rPr>
        <w:t>的不予注册决定有异议的，可以自收到不予注册决定通知之日起</w:t>
      </w:r>
      <w:r w:rsidRPr="00D92D65">
        <w:rPr>
          <w:rFonts w:ascii="ˎ̥" w:eastAsia="宋体" w:hAnsi="ˎ̥" w:cs="Arial"/>
          <w:color w:val="000000"/>
          <w:kern w:val="0"/>
          <w:sz w:val="18"/>
          <w:szCs w:val="18"/>
        </w:rPr>
        <w:t>20</w:t>
      </w:r>
      <w:r w:rsidRPr="00D92D65">
        <w:rPr>
          <w:rFonts w:ascii="ˎ̥" w:eastAsia="宋体" w:hAnsi="ˎ̥" w:cs="Arial"/>
          <w:color w:val="000000"/>
          <w:kern w:val="0"/>
          <w:sz w:val="18"/>
          <w:szCs w:val="18"/>
        </w:rPr>
        <w:t>个工作日内，向</w:t>
      </w:r>
      <w:proofErr w:type="gramStart"/>
      <w:r w:rsidRPr="00D92D65">
        <w:rPr>
          <w:rFonts w:ascii="ˎ̥" w:eastAsia="宋体" w:hAnsi="ˎ̥" w:cs="Arial"/>
          <w:color w:val="000000"/>
          <w:kern w:val="0"/>
          <w:sz w:val="18"/>
          <w:szCs w:val="18"/>
        </w:rPr>
        <w:t>作出</w:t>
      </w:r>
      <w:proofErr w:type="gramEnd"/>
      <w:r w:rsidRPr="00D92D65">
        <w:rPr>
          <w:rFonts w:ascii="ˎ̥" w:eastAsia="宋体" w:hAnsi="ˎ̥" w:cs="Arial"/>
          <w:color w:val="000000"/>
          <w:kern w:val="0"/>
          <w:sz w:val="18"/>
          <w:szCs w:val="18"/>
        </w:rPr>
        <w:t>审批决定的食品药品监督管理部门提出复审申请。复审申请的内容仅限于原申请事项和原申报资料。</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食品药品监督管理部门应当自受理复审申请之日起</w:t>
      </w:r>
      <w:r w:rsidRPr="00D92D65">
        <w:rPr>
          <w:rFonts w:ascii="ˎ̥" w:eastAsia="宋体" w:hAnsi="ˎ̥" w:cs="Arial"/>
          <w:color w:val="000000"/>
          <w:kern w:val="0"/>
          <w:sz w:val="18"/>
          <w:szCs w:val="18"/>
        </w:rPr>
        <w:t>30</w:t>
      </w:r>
      <w:r w:rsidRPr="00D92D65">
        <w:rPr>
          <w:rFonts w:ascii="ˎ̥" w:eastAsia="宋体" w:hAnsi="ˎ̥" w:cs="Arial"/>
          <w:color w:val="000000"/>
          <w:kern w:val="0"/>
          <w:sz w:val="18"/>
          <w:szCs w:val="18"/>
        </w:rPr>
        <w:t>个工作日内</w:t>
      </w:r>
      <w:proofErr w:type="gramStart"/>
      <w:r w:rsidRPr="00D92D65">
        <w:rPr>
          <w:rFonts w:ascii="ˎ̥" w:eastAsia="宋体" w:hAnsi="ˎ̥" w:cs="Arial"/>
          <w:color w:val="000000"/>
          <w:kern w:val="0"/>
          <w:sz w:val="18"/>
          <w:szCs w:val="18"/>
        </w:rPr>
        <w:t>作出</w:t>
      </w:r>
      <w:proofErr w:type="gramEnd"/>
      <w:r w:rsidRPr="00D92D65">
        <w:rPr>
          <w:rFonts w:ascii="ˎ̥" w:eastAsia="宋体" w:hAnsi="ˎ̥" w:cs="Arial"/>
          <w:color w:val="000000"/>
          <w:kern w:val="0"/>
          <w:sz w:val="18"/>
          <w:szCs w:val="18"/>
        </w:rPr>
        <w:t>复审决定，并书面通知申请人。维持原决定的，食品药品监督管理部门不再受理申请人再次提出的复审申请。</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第五十三条　申请人对食品药品监督管理部门</w:t>
      </w:r>
      <w:proofErr w:type="gramStart"/>
      <w:r w:rsidRPr="00D92D65">
        <w:rPr>
          <w:rFonts w:ascii="ˎ̥" w:eastAsia="宋体" w:hAnsi="ˎ̥" w:cs="Arial"/>
          <w:color w:val="000000"/>
          <w:kern w:val="0"/>
          <w:sz w:val="18"/>
          <w:szCs w:val="18"/>
        </w:rPr>
        <w:t>作出</w:t>
      </w:r>
      <w:proofErr w:type="gramEnd"/>
      <w:r w:rsidRPr="00D92D65">
        <w:rPr>
          <w:rFonts w:ascii="ˎ̥" w:eastAsia="宋体" w:hAnsi="ˎ̥" w:cs="Arial"/>
          <w:color w:val="000000"/>
          <w:kern w:val="0"/>
          <w:sz w:val="18"/>
          <w:szCs w:val="18"/>
        </w:rPr>
        <w:t>的不予注册的决定有异议，且已申请行政复议或者提起行政诉讼的，食品药品监督管理部门不受理其复审申请。</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第五十四条　医疗器械注册证遗失的，注册人应当立即在原发证机关指定的媒体上登载遗失声明。自登载遗失声明之日起满</w:t>
      </w:r>
      <w:r w:rsidRPr="00D92D65">
        <w:rPr>
          <w:rFonts w:ascii="ˎ̥" w:eastAsia="宋体" w:hAnsi="ˎ̥" w:cs="Arial"/>
          <w:color w:val="000000"/>
          <w:kern w:val="0"/>
          <w:sz w:val="18"/>
          <w:szCs w:val="18"/>
        </w:rPr>
        <w:t>1</w:t>
      </w:r>
      <w:r w:rsidRPr="00D92D65">
        <w:rPr>
          <w:rFonts w:ascii="ˎ̥" w:eastAsia="宋体" w:hAnsi="ˎ̥" w:cs="Arial"/>
          <w:color w:val="000000"/>
          <w:kern w:val="0"/>
          <w:sz w:val="18"/>
          <w:szCs w:val="18"/>
        </w:rPr>
        <w:t>个月后，向原发证机关申请补发，原发证机关在</w:t>
      </w:r>
      <w:r w:rsidRPr="00D92D65">
        <w:rPr>
          <w:rFonts w:ascii="ˎ̥" w:eastAsia="宋体" w:hAnsi="ˎ̥" w:cs="Arial"/>
          <w:color w:val="000000"/>
          <w:kern w:val="0"/>
          <w:sz w:val="18"/>
          <w:szCs w:val="18"/>
        </w:rPr>
        <w:t>20</w:t>
      </w:r>
      <w:r w:rsidRPr="00D92D65">
        <w:rPr>
          <w:rFonts w:ascii="ˎ̥" w:eastAsia="宋体" w:hAnsi="ˎ̥" w:cs="Arial"/>
          <w:color w:val="000000"/>
          <w:kern w:val="0"/>
          <w:sz w:val="18"/>
          <w:szCs w:val="18"/>
        </w:rPr>
        <w:t>个工作日内予以补发。</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第五十五条　体外诊断试剂上市后，其产品技术要求和说明书应当与食品药品监督管理部门核准的内容一致。注册人或者备案人应当对上市后产品的安全性和有效性进行跟踪，必要时及时提出产品技术要求、说明书的变更申请。</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lastRenderedPageBreak/>
        <w:t xml:space="preserve">　　第五十六条　体外诊断试剂注册申请直接涉及申请人与他人之间重大利益关系的，食品药品监督管理部门应当告知申请人、利害关系人依照法律、法规以及国家食品药品监督管理总局的有关规定享有申请听证的权利；对体外诊断试剂注册申请进行审查时，食品药品监督管理部门认为属于涉及公共利益的重大许可事项，应当向社会公告，并举行听证。</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第五十七条　注册申请审查过程中及批准后发生专利权纠纷的，应当按照有关法律、法规的规定处理。</w:t>
      </w:r>
    </w:p>
    <w:p w:rsidR="00D92D65" w:rsidRPr="00D92D65" w:rsidRDefault="00D92D65" w:rsidP="00D92D65">
      <w:pPr>
        <w:widowControl/>
        <w:wordWrap w:val="0"/>
        <w:spacing w:before="100" w:beforeAutospacing="1" w:after="100" w:afterAutospacing="1" w:line="480" w:lineRule="auto"/>
        <w:jc w:val="center"/>
        <w:rPr>
          <w:rFonts w:ascii="ˎ̥" w:eastAsia="宋体" w:hAnsi="ˎ̥" w:cs="Arial"/>
          <w:color w:val="000000"/>
          <w:kern w:val="0"/>
          <w:sz w:val="18"/>
          <w:szCs w:val="18"/>
        </w:rPr>
      </w:pPr>
      <w:r w:rsidRPr="00D92D65">
        <w:rPr>
          <w:rFonts w:ascii="ˎ̥" w:eastAsia="宋体" w:hAnsi="ˎ̥" w:cs="Arial"/>
          <w:color w:val="000000"/>
          <w:kern w:val="0"/>
          <w:sz w:val="18"/>
          <w:szCs w:val="18"/>
        </w:rPr>
        <w:t>第七章　注册变更</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第五十八条　已注册的第二类、第三类体外诊断试剂，医疗器械注册证及其附件载明的内容发生变化，注册人应当向原注册部门申请注册变更，并按照相关要求提交申报资料。</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注册人名称和住所、代理人名称和住所发生变化的，注册人应当向原注册部门申请登记事项变更；境内体外诊断试剂生产地址变更的，注册人应当在相应的生产许可变更后办理注册登记事项变更。</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注册证及附件载明内容发生以下变化的，申请人应当向原注册部门申请许可事项变更：</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（一）抗原、抗体等主要材料供应商变更的；</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（二）检测条件、阳性判断</w:t>
      </w:r>
      <w:proofErr w:type="gramStart"/>
      <w:r w:rsidRPr="00D92D65">
        <w:rPr>
          <w:rFonts w:ascii="ˎ̥" w:eastAsia="宋体" w:hAnsi="ˎ̥" w:cs="Arial"/>
          <w:color w:val="000000"/>
          <w:kern w:val="0"/>
          <w:sz w:val="18"/>
          <w:szCs w:val="18"/>
        </w:rPr>
        <w:t>值或者</w:t>
      </w:r>
      <w:proofErr w:type="gramEnd"/>
      <w:r w:rsidRPr="00D92D65">
        <w:rPr>
          <w:rFonts w:ascii="ˎ̥" w:eastAsia="宋体" w:hAnsi="ˎ̥" w:cs="Arial"/>
          <w:color w:val="000000"/>
          <w:kern w:val="0"/>
          <w:sz w:val="18"/>
          <w:szCs w:val="18"/>
        </w:rPr>
        <w:t>参考区间变更的；</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（三）注册产品技术要求中所设定的项目、指标、试验方法变更的；</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（四）包装规格、适用机型变更的；</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（五）产品储存条件或者产品有效期变更的；</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（六）增加预期用途，如增加临床适应症、增加临床测定用样本类型的；</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（七）进口体外诊断试剂生产地址变更的；</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（八）可能影响产品安全性、有效性的其他变更。</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lastRenderedPageBreak/>
        <w:t xml:space="preserve">　　第五十九条　下列情形不属于本章规定的变更申请事项，应当按照注册申请办理：</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（一）产品基本反应原理改变；</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（二）产品阳性判断</w:t>
      </w:r>
      <w:proofErr w:type="gramStart"/>
      <w:r w:rsidRPr="00D92D65">
        <w:rPr>
          <w:rFonts w:ascii="ˎ̥" w:eastAsia="宋体" w:hAnsi="ˎ̥" w:cs="Arial"/>
          <w:color w:val="000000"/>
          <w:kern w:val="0"/>
          <w:sz w:val="18"/>
          <w:szCs w:val="18"/>
        </w:rPr>
        <w:t>值或者</w:t>
      </w:r>
      <w:proofErr w:type="gramEnd"/>
      <w:r w:rsidRPr="00D92D65">
        <w:rPr>
          <w:rFonts w:ascii="ˎ̥" w:eastAsia="宋体" w:hAnsi="ˎ̥" w:cs="Arial"/>
          <w:color w:val="000000"/>
          <w:kern w:val="0"/>
          <w:sz w:val="18"/>
          <w:szCs w:val="18"/>
        </w:rPr>
        <w:t>参考区间改变，并具有新的临床诊断意义；</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（三）其他影响产品性能的重大改变。</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第六十条　登记事项变更资料符合要求的，食品药品监督管理部门应当在</w:t>
      </w:r>
      <w:r w:rsidRPr="00D92D65">
        <w:rPr>
          <w:rFonts w:ascii="ˎ̥" w:eastAsia="宋体" w:hAnsi="ˎ̥" w:cs="Arial"/>
          <w:color w:val="000000"/>
          <w:kern w:val="0"/>
          <w:sz w:val="18"/>
          <w:szCs w:val="18"/>
        </w:rPr>
        <w:t>10</w:t>
      </w:r>
      <w:r w:rsidRPr="00D92D65">
        <w:rPr>
          <w:rFonts w:ascii="ˎ̥" w:eastAsia="宋体" w:hAnsi="ˎ̥" w:cs="Arial"/>
          <w:color w:val="000000"/>
          <w:kern w:val="0"/>
          <w:sz w:val="18"/>
          <w:szCs w:val="18"/>
        </w:rPr>
        <w:t>个工作日内发给医疗器械注册变更文件。登记事项变更资料不齐全或者不符合形式审查要求的，食品药品监督管理部门应当一次告知需要补正的全部内容。</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第六十一条　对于许可事项变更，技术审评机构应当重点针对变化部分及其对产品性能的影响进行审评，对变化后产品是否安全、有效</w:t>
      </w:r>
      <w:proofErr w:type="gramStart"/>
      <w:r w:rsidRPr="00D92D65">
        <w:rPr>
          <w:rFonts w:ascii="ˎ̥" w:eastAsia="宋体" w:hAnsi="ˎ̥" w:cs="Arial"/>
          <w:color w:val="000000"/>
          <w:kern w:val="0"/>
          <w:sz w:val="18"/>
          <w:szCs w:val="18"/>
        </w:rPr>
        <w:t>作出</w:t>
      </w:r>
      <w:proofErr w:type="gramEnd"/>
      <w:r w:rsidRPr="00D92D65">
        <w:rPr>
          <w:rFonts w:ascii="ˎ̥" w:eastAsia="宋体" w:hAnsi="ˎ̥" w:cs="Arial"/>
          <w:color w:val="000000"/>
          <w:kern w:val="0"/>
          <w:sz w:val="18"/>
          <w:szCs w:val="18"/>
        </w:rPr>
        <w:t>评价。</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受理许可事项变更申请的食品药品监督管理部门应当按照本办法第六章规定的时限组织技术审评。</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第六十二条　医疗器械注册变更文件与原医疗器械注册证合并使用，其有效期与该注册证相同。取得注册变更文件后，注册人应当根据变更内容自行修改产品技术要求、说明书和标签。</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第六十三条　许可事项变更申请的受理与审批程序，本章未作规定的，适用本办法第六章的相关规定。</w:t>
      </w:r>
    </w:p>
    <w:p w:rsidR="00D92D65" w:rsidRPr="00D92D65" w:rsidRDefault="00D92D65" w:rsidP="00D92D65">
      <w:pPr>
        <w:widowControl/>
        <w:wordWrap w:val="0"/>
        <w:spacing w:before="100" w:beforeAutospacing="1" w:after="100" w:afterAutospacing="1" w:line="480" w:lineRule="auto"/>
        <w:jc w:val="center"/>
        <w:rPr>
          <w:rFonts w:ascii="ˎ̥" w:eastAsia="宋体" w:hAnsi="ˎ̥" w:cs="Arial"/>
          <w:color w:val="000000"/>
          <w:kern w:val="0"/>
          <w:sz w:val="18"/>
          <w:szCs w:val="18"/>
        </w:rPr>
      </w:pPr>
      <w:r w:rsidRPr="00D92D65">
        <w:rPr>
          <w:rFonts w:ascii="ˎ̥" w:eastAsia="宋体" w:hAnsi="ˎ̥" w:cs="Arial"/>
          <w:color w:val="000000"/>
          <w:kern w:val="0"/>
          <w:sz w:val="18"/>
          <w:szCs w:val="18"/>
        </w:rPr>
        <w:t>第八章　延续注册</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第六十四条　医疗器械注册证有效期届满需要延续注册的，注册人应当在医疗器械注册证有效期届满</w:t>
      </w:r>
      <w:r w:rsidRPr="00D92D65">
        <w:rPr>
          <w:rFonts w:ascii="ˎ̥" w:eastAsia="宋体" w:hAnsi="ˎ̥" w:cs="Arial"/>
          <w:color w:val="000000"/>
          <w:kern w:val="0"/>
          <w:sz w:val="18"/>
          <w:szCs w:val="18"/>
        </w:rPr>
        <w:t>6</w:t>
      </w:r>
      <w:r w:rsidRPr="00D92D65">
        <w:rPr>
          <w:rFonts w:ascii="ˎ̥" w:eastAsia="宋体" w:hAnsi="ˎ̥" w:cs="Arial"/>
          <w:color w:val="000000"/>
          <w:kern w:val="0"/>
          <w:sz w:val="18"/>
          <w:szCs w:val="18"/>
        </w:rPr>
        <w:t>个月前，向食品药品监督管理部门申请延续注册，并按照相关要求提交申报资料。</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除有本办法第六十五条规定情形外，接到延续注册申请的食品药品监督管理部门应当在医疗器械注册证有效期届满前作出准予延续的决定。逾期未作决定的，视为准予延续。</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lastRenderedPageBreak/>
        <w:t xml:space="preserve">　　第六十五条　有下列情形之一的，不予延续注册：</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（一）注册人未在规定期限内提出延续注册申请的；</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（二）体外诊断试剂强制性标准已经修订或者有新的国家标准品、参考品，该体外诊断试剂不能达到新要求的；</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（三）对用于罕见疾病以及应对突发公共卫生事件急需的体外诊断试剂，批准注册部门在批准上市时提出要求，注册人未在规定期限内完成医疗器械注册证载明事项的。</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第六十六条　体外诊断试剂延续注册申请的受理与审批程序，本章未作规定的，适用本办法第六章的相关规定。</w:t>
      </w:r>
    </w:p>
    <w:p w:rsidR="00D92D65" w:rsidRPr="00D92D65" w:rsidRDefault="00D92D65" w:rsidP="00D92D65">
      <w:pPr>
        <w:widowControl/>
        <w:wordWrap w:val="0"/>
        <w:spacing w:before="100" w:beforeAutospacing="1" w:after="100" w:afterAutospacing="1" w:line="480" w:lineRule="auto"/>
        <w:jc w:val="center"/>
        <w:rPr>
          <w:rFonts w:ascii="ˎ̥" w:eastAsia="宋体" w:hAnsi="ˎ̥" w:cs="Arial"/>
          <w:color w:val="000000"/>
          <w:kern w:val="0"/>
          <w:sz w:val="18"/>
          <w:szCs w:val="18"/>
        </w:rPr>
      </w:pPr>
      <w:r w:rsidRPr="00D92D65">
        <w:rPr>
          <w:rFonts w:ascii="ˎ̥" w:eastAsia="宋体" w:hAnsi="ˎ̥" w:cs="Arial"/>
          <w:color w:val="000000"/>
          <w:kern w:val="0"/>
          <w:sz w:val="18"/>
          <w:szCs w:val="18"/>
        </w:rPr>
        <w:t>第九章　产品备案</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第六十七条　第一类体外诊断试剂生产前，应当办理产品备案。</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第六十八条　办理体外诊断试剂备案，备案人应当按照《医疗器械监督管理条例》第九条的规定提交备案资料。</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备案资料符合要求的，食品药品监督管理部门应当当场备案；备案资料不齐全或者不符合规定形式的，应当一次告知需要补正的全部内容，由备案人补正后备案。</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对备案的体外诊断试剂，食品药品监督管理部门应当按照相关要求的格式制作备案凭证，并将备案信息表中登载的信息在其网站上予以公布。</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第六十九条　已备案的体外诊断试剂，备案信息表中登载内容及备案的产品技术要求发生变化的，备案人应当提交变化情况的说明及相关证明文件，向原备案部门提出变更备案信息。备案资料符合形式要求的，食品药品监督管理部门应当将变更情况登载于变更信息中，将备案资料存档。</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lastRenderedPageBreak/>
        <w:t xml:space="preserve">　　第七十条　已备案的体外诊断试剂管理类别调整的，备案人应当主动向食品药品监督管理部门提出取消原备案；管理类别调整为第二类或者第三类体外诊断试剂的，按照本办法规定申请注册。</w:t>
      </w:r>
    </w:p>
    <w:p w:rsidR="00D92D65" w:rsidRPr="00D92D65" w:rsidRDefault="00D92D65" w:rsidP="00D92D65">
      <w:pPr>
        <w:widowControl/>
        <w:wordWrap w:val="0"/>
        <w:spacing w:before="100" w:beforeAutospacing="1" w:after="100" w:afterAutospacing="1" w:line="480" w:lineRule="auto"/>
        <w:jc w:val="center"/>
        <w:rPr>
          <w:rFonts w:ascii="ˎ̥" w:eastAsia="宋体" w:hAnsi="ˎ̥" w:cs="Arial"/>
          <w:color w:val="000000"/>
          <w:kern w:val="0"/>
          <w:sz w:val="18"/>
          <w:szCs w:val="18"/>
        </w:rPr>
      </w:pPr>
      <w:r w:rsidRPr="00D92D65">
        <w:rPr>
          <w:rFonts w:ascii="ˎ̥" w:eastAsia="宋体" w:hAnsi="ˎ̥" w:cs="Arial"/>
          <w:color w:val="000000"/>
          <w:kern w:val="0"/>
          <w:sz w:val="18"/>
          <w:szCs w:val="18"/>
        </w:rPr>
        <w:t>第十章　监督管理</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第七十一条　国家食品药品监督管理总局负责全国体外诊断试剂注册与备案的监督管理工作，对地方食品药品监督管理部门体外诊断试剂注册与备案工作进行监督和指导。</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第七十二条　省、自治区、直辖市食品药品监督管理部门负责本行政区域的体外诊断试剂注册与备案的监督管理工作，组织开展监督检查，并将有关情况及时报送国家食品药品监督管理总局。</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第七十三条　省、自治区、直辖市食品药品监督管理部门按照属地管理原则，对进口体外诊断试剂代理人注册与备案相关工作实施日常监督管理。</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第七十四条　设区的市级食品药品监督管理部门应当定期对备案工作开展检查，并及时向省、自治区、直辖市食品药品监督管理部门报送相关信息。</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第七十五条　已注册的体外诊断试剂有法律、法规规定应当注销的情形，或者注册证有效期未满但注册人主动提出注销的，食品药品监督管理部门应当依法注销，并向社会公布。</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第七十六条　已注册的体外诊断试剂，其管理类别由高类别调整为低类别的，在有效期内的医疗器械注册证继续有效。如需延续的，注册人应当在医疗器械注册证有效期届满</w:t>
      </w:r>
      <w:r w:rsidRPr="00D92D65">
        <w:rPr>
          <w:rFonts w:ascii="ˎ̥" w:eastAsia="宋体" w:hAnsi="ˎ̥" w:cs="Arial"/>
          <w:color w:val="000000"/>
          <w:kern w:val="0"/>
          <w:sz w:val="18"/>
          <w:szCs w:val="18"/>
        </w:rPr>
        <w:t>6</w:t>
      </w:r>
      <w:r w:rsidRPr="00D92D65">
        <w:rPr>
          <w:rFonts w:ascii="ˎ̥" w:eastAsia="宋体" w:hAnsi="ˎ̥" w:cs="Arial"/>
          <w:color w:val="000000"/>
          <w:kern w:val="0"/>
          <w:sz w:val="18"/>
          <w:szCs w:val="18"/>
        </w:rPr>
        <w:t>个月前，按照改变后的类别向食品药品监督管理部门申请延续注册或者办理备案。</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体外诊断试剂管理类别由低类别调整为高类别的，注册人应当依照本办法第六章的规定，按照改变后的类别向食品药品监督管理部门申请注册。国家食品药品监督管理总局在管理类别调整通知中应当对完成调整的时限</w:t>
      </w:r>
      <w:proofErr w:type="gramStart"/>
      <w:r w:rsidRPr="00D92D65">
        <w:rPr>
          <w:rFonts w:ascii="ˎ̥" w:eastAsia="宋体" w:hAnsi="ˎ̥" w:cs="Arial"/>
          <w:color w:val="000000"/>
          <w:kern w:val="0"/>
          <w:sz w:val="18"/>
          <w:szCs w:val="18"/>
        </w:rPr>
        <w:t>作出</w:t>
      </w:r>
      <w:proofErr w:type="gramEnd"/>
      <w:r w:rsidRPr="00D92D65">
        <w:rPr>
          <w:rFonts w:ascii="ˎ̥" w:eastAsia="宋体" w:hAnsi="ˎ̥" w:cs="Arial"/>
          <w:color w:val="000000"/>
          <w:kern w:val="0"/>
          <w:sz w:val="18"/>
          <w:szCs w:val="18"/>
        </w:rPr>
        <w:t>规定。</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lastRenderedPageBreak/>
        <w:t xml:space="preserve">　　第七十七条　省、自治区、直辖市食品药品监督管理部门违反本办法规定实施体外诊断试剂注册的，由国家食品药品监督管理总局责令限期改正；逾期不改正的，国家食品药品监督管理总局可以直接公告撤销该医疗器械注册证。</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第七十八条　食品药品监督管理部门、相关技术机构及其工作人员，对申请人或者备案人提交的试验数据和技术秘密负有保密义务。</w:t>
      </w:r>
    </w:p>
    <w:p w:rsidR="00D92D65" w:rsidRPr="00D92D65" w:rsidRDefault="00D92D65" w:rsidP="00D92D65">
      <w:pPr>
        <w:widowControl/>
        <w:wordWrap w:val="0"/>
        <w:spacing w:before="100" w:beforeAutospacing="1" w:after="100" w:afterAutospacing="1" w:line="480" w:lineRule="auto"/>
        <w:jc w:val="center"/>
        <w:rPr>
          <w:rFonts w:ascii="ˎ̥" w:eastAsia="宋体" w:hAnsi="ˎ̥" w:cs="Arial"/>
          <w:color w:val="000000"/>
          <w:kern w:val="0"/>
          <w:sz w:val="18"/>
          <w:szCs w:val="18"/>
        </w:rPr>
      </w:pPr>
      <w:r w:rsidRPr="00D92D65">
        <w:rPr>
          <w:rFonts w:ascii="ˎ̥" w:eastAsia="宋体" w:hAnsi="ˎ̥" w:cs="Arial"/>
          <w:color w:val="000000"/>
          <w:kern w:val="0"/>
          <w:sz w:val="18"/>
          <w:szCs w:val="18"/>
        </w:rPr>
        <w:t>第十一章　法律责任</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第七十九条　提供虚假资料或者采取其他欺骗手段取得医疗器械注册证的，按照《医疗器械监督管理条例》第六十四条第一款的规定予以处罚。</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备案时提供虚假资料的，按照《医疗器械监督管理条例》第六十五条第二款的规定予以处罚。</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第八十条　伪造、变造、买卖、出租、出借医疗器械注册证的，按照《医疗器械监督管理条例》第六十四条第二款的规定予以处罚。</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第八十一条　违反本办法规定，未依法办理第一类体外诊断试剂变更备案或者第二类、第三类体外诊断试剂注册登记事项变更的，按照《医疗器械监督管理条例》有关未备案的情形予以处罚。</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第八十二条　违反本办法规定，未依法办理体外诊断试剂注册许可事项变更的，按照《医疗器械监督管理条例》有关未取得医疗器械注册证的情形予以处罚。</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第八十三条　申请人未按照《医疗器械监督管理条例》和本办法规定开展临床试验的，由县级以上食品药品监督管理部门责令改正，可以处</w:t>
      </w:r>
      <w:r w:rsidRPr="00D92D65">
        <w:rPr>
          <w:rFonts w:ascii="ˎ̥" w:eastAsia="宋体" w:hAnsi="ˎ̥" w:cs="Arial"/>
          <w:color w:val="000000"/>
          <w:kern w:val="0"/>
          <w:sz w:val="18"/>
          <w:szCs w:val="18"/>
        </w:rPr>
        <w:t>3</w:t>
      </w:r>
      <w:r w:rsidRPr="00D92D65">
        <w:rPr>
          <w:rFonts w:ascii="ˎ̥" w:eastAsia="宋体" w:hAnsi="ˎ̥" w:cs="Arial"/>
          <w:color w:val="000000"/>
          <w:kern w:val="0"/>
          <w:sz w:val="18"/>
          <w:szCs w:val="18"/>
        </w:rPr>
        <w:t>万元以下罚款；情节严重的，应当立即停止临床试验。</w:t>
      </w:r>
    </w:p>
    <w:p w:rsidR="00D92D65" w:rsidRPr="00D92D65" w:rsidRDefault="00D92D65" w:rsidP="00D92D65">
      <w:pPr>
        <w:widowControl/>
        <w:wordWrap w:val="0"/>
        <w:spacing w:before="100" w:beforeAutospacing="1" w:after="100" w:afterAutospacing="1" w:line="480" w:lineRule="auto"/>
        <w:jc w:val="center"/>
        <w:rPr>
          <w:rFonts w:ascii="ˎ̥" w:eastAsia="宋体" w:hAnsi="ˎ̥" w:cs="Arial"/>
          <w:color w:val="000000"/>
          <w:kern w:val="0"/>
          <w:sz w:val="18"/>
          <w:szCs w:val="18"/>
        </w:rPr>
      </w:pPr>
      <w:r w:rsidRPr="00D92D65">
        <w:rPr>
          <w:rFonts w:ascii="ˎ̥" w:eastAsia="宋体" w:hAnsi="ˎ̥" w:cs="Arial"/>
          <w:color w:val="000000"/>
          <w:kern w:val="0"/>
          <w:sz w:val="18"/>
          <w:szCs w:val="18"/>
        </w:rPr>
        <w:t>第十二章　附　则</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lastRenderedPageBreak/>
        <w:t xml:space="preserve">　　第八十四条　体外诊断试剂的注册或者备案单元应为单一试剂或者单一试剂盒，一个注册或者备案单元可以包括不同的包装规格。</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第八十五条　医疗器械注册证格式由国家食品药品监督管理总局统一制定。</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注册证编号的编排方式为：</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w:t>
      </w:r>
      <w:r w:rsidRPr="00D92D65">
        <w:rPr>
          <w:rFonts w:ascii="ˎ̥" w:eastAsia="宋体" w:hAnsi="ˎ̥" w:cs="Arial"/>
          <w:color w:val="000000"/>
          <w:kern w:val="0"/>
          <w:sz w:val="18"/>
          <w:szCs w:val="18"/>
        </w:rPr>
        <w:t>×1</w:t>
      </w:r>
      <w:proofErr w:type="gramStart"/>
      <w:r w:rsidRPr="00D92D65">
        <w:rPr>
          <w:rFonts w:ascii="ˎ̥" w:eastAsia="宋体" w:hAnsi="ˎ̥" w:cs="Arial"/>
          <w:color w:val="000000"/>
          <w:kern w:val="0"/>
          <w:sz w:val="18"/>
          <w:szCs w:val="18"/>
        </w:rPr>
        <w:t>械注</w:t>
      </w:r>
      <w:proofErr w:type="gramEnd"/>
      <w:r w:rsidRPr="00D92D65">
        <w:rPr>
          <w:rFonts w:ascii="ˎ̥" w:eastAsia="宋体" w:hAnsi="ˎ̥" w:cs="Arial"/>
          <w:color w:val="000000"/>
          <w:kern w:val="0"/>
          <w:sz w:val="18"/>
          <w:szCs w:val="18"/>
        </w:rPr>
        <w:t>×2××××3×4××5××××6</w:t>
      </w:r>
      <w:r w:rsidRPr="00D92D65">
        <w:rPr>
          <w:rFonts w:ascii="ˎ̥" w:eastAsia="宋体" w:hAnsi="ˎ̥" w:cs="Arial"/>
          <w:color w:val="000000"/>
          <w:kern w:val="0"/>
          <w:sz w:val="18"/>
          <w:szCs w:val="18"/>
        </w:rPr>
        <w:t>。其中：</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w:t>
      </w:r>
      <w:r w:rsidRPr="00D92D65">
        <w:rPr>
          <w:rFonts w:ascii="ˎ̥" w:eastAsia="宋体" w:hAnsi="ˎ̥" w:cs="Arial"/>
          <w:color w:val="000000"/>
          <w:kern w:val="0"/>
          <w:sz w:val="18"/>
          <w:szCs w:val="18"/>
        </w:rPr>
        <w:t>×1</w:t>
      </w:r>
      <w:r w:rsidRPr="00D92D65">
        <w:rPr>
          <w:rFonts w:ascii="ˎ̥" w:eastAsia="宋体" w:hAnsi="ˎ̥" w:cs="Arial"/>
          <w:color w:val="000000"/>
          <w:kern w:val="0"/>
          <w:sz w:val="18"/>
          <w:szCs w:val="18"/>
        </w:rPr>
        <w:t>为注册审批部门所在地的简称：</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境内第三类体外诊断试剂、进口第二类、第三类体外诊断试剂为</w:t>
      </w:r>
      <w:r w:rsidRPr="00D92D65">
        <w:rPr>
          <w:rFonts w:ascii="ˎ̥" w:eastAsia="宋体" w:hAnsi="ˎ̥" w:cs="Arial"/>
          <w:color w:val="000000"/>
          <w:kern w:val="0"/>
          <w:sz w:val="18"/>
          <w:szCs w:val="18"/>
        </w:rPr>
        <w:t>“</w:t>
      </w:r>
      <w:r w:rsidRPr="00D92D65">
        <w:rPr>
          <w:rFonts w:ascii="ˎ̥" w:eastAsia="宋体" w:hAnsi="ˎ̥" w:cs="Arial"/>
          <w:color w:val="000000"/>
          <w:kern w:val="0"/>
          <w:sz w:val="18"/>
          <w:szCs w:val="18"/>
        </w:rPr>
        <w:t>国</w:t>
      </w:r>
      <w:r w:rsidRPr="00D92D65">
        <w:rPr>
          <w:rFonts w:ascii="ˎ̥" w:eastAsia="宋体" w:hAnsi="ˎ̥" w:cs="Arial"/>
          <w:color w:val="000000"/>
          <w:kern w:val="0"/>
          <w:sz w:val="18"/>
          <w:szCs w:val="18"/>
        </w:rPr>
        <w:t>”</w:t>
      </w:r>
      <w:r w:rsidRPr="00D92D65">
        <w:rPr>
          <w:rFonts w:ascii="ˎ̥" w:eastAsia="宋体" w:hAnsi="ˎ̥" w:cs="Arial"/>
          <w:color w:val="000000"/>
          <w:kern w:val="0"/>
          <w:sz w:val="18"/>
          <w:szCs w:val="18"/>
        </w:rPr>
        <w:t>字；</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境内第二类体外诊断试剂为注册审批部门所在地省、自治区、直辖市简称；</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w:t>
      </w:r>
      <w:r w:rsidRPr="00D92D65">
        <w:rPr>
          <w:rFonts w:ascii="ˎ̥" w:eastAsia="宋体" w:hAnsi="ˎ̥" w:cs="Arial"/>
          <w:color w:val="000000"/>
          <w:kern w:val="0"/>
          <w:sz w:val="18"/>
          <w:szCs w:val="18"/>
        </w:rPr>
        <w:t>×2</w:t>
      </w:r>
      <w:r w:rsidRPr="00D92D65">
        <w:rPr>
          <w:rFonts w:ascii="ˎ̥" w:eastAsia="宋体" w:hAnsi="ˎ̥" w:cs="Arial"/>
          <w:color w:val="000000"/>
          <w:kern w:val="0"/>
          <w:sz w:val="18"/>
          <w:szCs w:val="18"/>
        </w:rPr>
        <w:t>为注册形式：</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w:t>
      </w:r>
      <w:r w:rsidRPr="00D92D65">
        <w:rPr>
          <w:rFonts w:ascii="ˎ̥" w:eastAsia="宋体" w:hAnsi="ˎ̥" w:cs="Arial"/>
          <w:color w:val="000000"/>
          <w:kern w:val="0"/>
          <w:sz w:val="18"/>
          <w:szCs w:val="18"/>
        </w:rPr>
        <w:t>“</w:t>
      </w:r>
      <w:r w:rsidRPr="00D92D65">
        <w:rPr>
          <w:rFonts w:ascii="ˎ̥" w:eastAsia="宋体" w:hAnsi="ˎ̥" w:cs="Arial"/>
          <w:color w:val="000000"/>
          <w:kern w:val="0"/>
          <w:sz w:val="18"/>
          <w:szCs w:val="18"/>
        </w:rPr>
        <w:t>准</w:t>
      </w:r>
      <w:r w:rsidRPr="00D92D65">
        <w:rPr>
          <w:rFonts w:ascii="ˎ̥" w:eastAsia="宋体" w:hAnsi="ˎ̥" w:cs="Arial"/>
          <w:color w:val="000000"/>
          <w:kern w:val="0"/>
          <w:sz w:val="18"/>
          <w:szCs w:val="18"/>
        </w:rPr>
        <w:t>”</w:t>
      </w:r>
      <w:r w:rsidRPr="00D92D65">
        <w:rPr>
          <w:rFonts w:ascii="ˎ̥" w:eastAsia="宋体" w:hAnsi="ˎ̥" w:cs="Arial"/>
          <w:color w:val="000000"/>
          <w:kern w:val="0"/>
          <w:sz w:val="18"/>
          <w:szCs w:val="18"/>
        </w:rPr>
        <w:t>字适用于境内体外诊断试剂；</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w:t>
      </w:r>
      <w:r w:rsidRPr="00D92D65">
        <w:rPr>
          <w:rFonts w:ascii="ˎ̥" w:eastAsia="宋体" w:hAnsi="ˎ̥" w:cs="Arial"/>
          <w:color w:val="000000"/>
          <w:kern w:val="0"/>
          <w:sz w:val="18"/>
          <w:szCs w:val="18"/>
        </w:rPr>
        <w:t>“</w:t>
      </w:r>
      <w:r w:rsidRPr="00D92D65">
        <w:rPr>
          <w:rFonts w:ascii="ˎ̥" w:eastAsia="宋体" w:hAnsi="ˎ̥" w:cs="Arial"/>
          <w:color w:val="000000"/>
          <w:kern w:val="0"/>
          <w:sz w:val="18"/>
          <w:szCs w:val="18"/>
        </w:rPr>
        <w:t>进</w:t>
      </w:r>
      <w:r w:rsidRPr="00D92D65">
        <w:rPr>
          <w:rFonts w:ascii="ˎ̥" w:eastAsia="宋体" w:hAnsi="ˎ̥" w:cs="Arial"/>
          <w:color w:val="000000"/>
          <w:kern w:val="0"/>
          <w:sz w:val="18"/>
          <w:szCs w:val="18"/>
        </w:rPr>
        <w:t>”</w:t>
      </w:r>
      <w:r w:rsidRPr="00D92D65">
        <w:rPr>
          <w:rFonts w:ascii="ˎ̥" w:eastAsia="宋体" w:hAnsi="ˎ̥" w:cs="Arial"/>
          <w:color w:val="000000"/>
          <w:kern w:val="0"/>
          <w:sz w:val="18"/>
          <w:szCs w:val="18"/>
        </w:rPr>
        <w:t>字适用于进口体外诊断试剂；</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w:t>
      </w:r>
      <w:r w:rsidRPr="00D92D65">
        <w:rPr>
          <w:rFonts w:ascii="ˎ̥" w:eastAsia="宋体" w:hAnsi="ˎ̥" w:cs="Arial"/>
          <w:color w:val="000000"/>
          <w:kern w:val="0"/>
          <w:sz w:val="18"/>
          <w:szCs w:val="18"/>
        </w:rPr>
        <w:t>“</w:t>
      </w:r>
      <w:r w:rsidRPr="00D92D65">
        <w:rPr>
          <w:rFonts w:ascii="ˎ̥" w:eastAsia="宋体" w:hAnsi="ˎ̥" w:cs="Arial"/>
          <w:color w:val="000000"/>
          <w:kern w:val="0"/>
          <w:sz w:val="18"/>
          <w:szCs w:val="18"/>
        </w:rPr>
        <w:t>许</w:t>
      </w:r>
      <w:r w:rsidRPr="00D92D65">
        <w:rPr>
          <w:rFonts w:ascii="ˎ̥" w:eastAsia="宋体" w:hAnsi="ˎ̥" w:cs="Arial"/>
          <w:color w:val="000000"/>
          <w:kern w:val="0"/>
          <w:sz w:val="18"/>
          <w:szCs w:val="18"/>
        </w:rPr>
        <w:t>”</w:t>
      </w:r>
      <w:r w:rsidRPr="00D92D65">
        <w:rPr>
          <w:rFonts w:ascii="ˎ̥" w:eastAsia="宋体" w:hAnsi="ˎ̥" w:cs="Arial"/>
          <w:color w:val="000000"/>
          <w:kern w:val="0"/>
          <w:sz w:val="18"/>
          <w:szCs w:val="18"/>
        </w:rPr>
        <w:t>字适用于香港、澳门、台湾地区的体外诊断试剂；</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w:t>
      </w:r>
      <w:r w:rsidRPr="00D92D65">
        <w:rPr>
          <w:rFonts w:ascii="ˎ̥" w:eastAsia="宋体" w:hAnsi="ˎ̥" w:cs="Arial"/>
          <w:color w:val="000000"/>
          <w:kern w:val="0"/>
          <w:sz w:val="18"/>
          <w:szCs w:val="18"/>
        </w:rPr>
        <w:t>××××3</w:t>
      </w:r>
      <w:r w:rsidRPr="00D92D65">
        <w:rPr>
          <w:rFonts w:ascii="ˎ̥" w:eastAsia="宋体" w:hAnsi="ˎ̥" w:cs="Arial"/>
          <w:color w:val="000000"/>
          <w:kern w:val="0"/>
          <w:sz w:val="18"/>
          <w:szCs w:val="18"/>
        </w:rPr>
        <w:t>为首次注册年份；</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w:t>
      </w:r>
      <w:r w:rsidRPr="00D92D65">
        <w:rPr>
          <w:rFonts w:ascii="ˎ̥" w:eastAsia="宋体" w:hAnsi="ˎ̥" w:cs="Arial"/>
          <w:color w:val="000000"/>
          <w:kern w:val="0"/>
          <w:sz w:val="18"/>
          <w:szCs w:val="18"/>
        </w:rPr>
        <w:t>×4</w:t>
      </w:r>
      <w:r w:rsidRPr="00D92D65">
        <w:rPr>
          <w:rFonts w:ascii="ˎ̥" w:eastAsia="宋体" w:hAnsi="ˎ̥" w:cs="Arial"/>
          <w:color w:val="000000"/>
          <w:kern w:val="0"/>
          <w:sz w:val="18"/>
          <w:szCs w:val="18"/>
        </w:rPr>
        <w:t>为产品管理类别；</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w:t>
      </w:r>
      <w:r w:rsidRPr="00D92D65">
        <w:rPr>
          <w:rFonts w:ascii="ˎ̥" w:eastAsia="宋体" w:hAnsi="ˎ̥" w:cs="Arial"/>
          <w:color w:val="000000"/>
          <w:kern w:val="0"/>
          <w:sz w:val="18"/>
          <w:szCs w:val="18"/>
        </w:rPr>
        <w:t>××5</w:t>
      </w:r>
      <w:r w:rsidRPr="00D92D65">
        <w:rPr>
          <w:rFonts w:ascii="ˎ̥" w:eastAsia="宋体" w:hAnsi="ˎ̥" w:cs="Arial"/>
          <w:color w:val="000000"/>
          <w:kern w:val="0"/>
          <w:sz w:val="18"/>
          <w:szCs w:val="18"/>
        </w:rPr>
        <w:t>为产品分类编码；</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w:t>
      </w:r>
      <w:r w:rsidRPr="00D92D65">
        <w:rPr>
          <w:rFonts w:ascii="ˎ̥" w:eastAsia="宋体" w:hAnsi="ˎ̥" w:cs="Arial"/>
          <w:color w:val="000000"/>
          <w:kern w:val="0"/>
          <w:sz w:val="18"/>
          <w:szCs w:val="18"/>
        </w:rPr>
        <w:t>××××6</w:t>
      </w:r>
      <w:r w:rsidRPr="00D92D65">
        <w:rPr>
          <w:rFonts w:ascii="ˎ̥" w:eastAsia="宋体" w:hAnsi="ˎ̥" w:cs="Arial"/>
          <w:color w:val="000000"/>
          <w:kern w:val="0"/>
          <w:sz w:val="18"/>
          <w:szCs w:val="18"/>
        </w:rPr>
        <w:t>为首次注册流水号。</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延续注册的，</w:t>
      </w:r>
      <w:r w:rsidRPr="00D92D65">
        <w:rPr>
          <w:rFonts w:ascii="ˎ̥" w:eastAsia="宋体" w:hAnsi="ˎ̥" w:cs="Arial"/>
          <w:color w:val="000000"/>
          <w:kern w:val="0"/>
          <w:sz w:val="18"/>
          <w:szCs w:val="18"/>
        </w:rPr>
        <w:t>××××3</w:t>
      </w:r>
      <w:r w:rsidRPr="00D92D65">
        <w:rPr>
          <w:rFonts w:ascii="ˎ̥" w:eastAsia="宋体" w:hAnsi="ˎ̥" w:cs="Arial"/>
          <w:color w:val="000000"/>
          <w:kern w:val="0"/>
          <w:sz w:val="18"/>
          <w:szCs w:val="18"/>
        </w:rPr>
        <w:t>和</w:t>
      </w:r>
      <w:r w:rsidRPr="00D92D65">
        <w:rPr>
          <w:rFonts w:ascii="ˎ̥" w:eastAsia="宋体" w:hAnsi="ˎ̥" w:cs="Arial"/>
          <w:color w:val="000000"/>
          <w:kern w:val="0"/>
          <w:sz w:val="18"/>
          <w:szCs w:val="18"/>
        </w:rPr>
        <w:t>××××6</w:t>
      </w:r>
      <w:r w:rsidRPr="00D92D65">
        <w:rPr>
          <w:rFonts w:ascii="ˎ̥" w:eastAsia="宋体" w:hAnsi="ˎ̥" w:cs="Arial"/>
          <w:color w:val="000000"/>
          <w:kern w:val="0"/>
          <w:sz w:val="18"/>
          <w:szCs w:val="18"/>
        </w:rPr>
        <w:t>数字不变。产品管理类别调整的，应当重新编号。</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第八十六条　第一类体外诊断试剂备案凭证编号的编排方式为：</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w:t>
      </w:r>
      <w:r w:rsidRPr="00D92D65">
        <w:rPr>
          <w:rFonts w:ascii="ˎ̥" w:eastAsia="宋体" w:hAnsi="ˎ̥" w:cs="Arial"/>
          <w:color w:val="000000"/>
          <w:kern w:val="0"/>
          <w:sz w:val="18"/>
          <w:szCs w:val="18"/>
        </w:rPr>
        <w:t>×1</w:t>
      </w:r>
      <w:proofErr w:type="gramStart"/>
      <w:r w:rsidRPr="00D92D65">
        <w:rPr>
          <w:rFonts w:ascii="ˎ̥" w:eastAsia="宋体" w:hAnsi="ˎ̥" w:cs="Arial"/>
          <w:color w:val="000000"/>
          <w:kern w:val="0"/>
          <w:sz w:val="18"/>
          <w:szCs w:val="18"/>
        </w:rPr>
        <w:t>械备</w:t>
      </w:r>
      <w:proofErr w:type="gramEnd"/>
      <w:r w:rsidRPr="00D92D65">
        <w:rPr>
          <w:rFonts w:ascii="ˎ̥" w:eastAsia="宋体" w:hAnsi="ˎ̥" w:cs="Arial"/>
          <w:color w:val="000000"/>
          <w:kern w:val="0"/>
          <w:sz w:val="18"/>
          <w:szCs w:val="18"/>
        </w:rPr>
        <w:t>××××2××××3</w:t>
      </w:r>
      <w:r w:rsidRPr="00D92D65">
        <w:rPr>
          <w:rFonts w:ascii="ˎ̥" w:eastAsia="宋体" w:hAnsi="ˎ̥" w:cs="Arial"/>
          <w:color w:val="000000"/>
          <w:kern w:val="0"/>
          <w:sz w:val="18"/>
          <w:szCs w:val="18"/>
        </w:rPr>
        <w:t>号。</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其中：</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w:t>
      </w:r>
      <w:r w:rsidRPr="00D92D65">
        <w:rPr>
          <w:rFonts w:ascii="ˎ̥" w:eastAsia="宋体" w:hAnsi="ˎ̥" w:cs="Arial"/>
          <w:color w:val="000000"/>
          <w:kern w:val="0"/>
          <w:sz w:val="18"/>
          <w:szCs w:val="18"/>
        </w:rPr>
        <w:t>×1</w:t>
      </w:r>
      <w:r w:rsidRPr="00D92D65">
        <w:rPr>
          <w:rFonts w:ascii="ˎ̥" w:eastAsia="宋体" w:hAnsi="ˎ̥" w:cs="Arial"/>
          <w:color w:val="000000"/>
          <w:kern w:val="0"/>
          <w:sz w:val="18"/>
          <w:szCs w:val="18"/>
        </w:rPr>
        <w:t>为备案部门所在地的简称：</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lastRenderedPageBreak/>
        <w:t xml:space="preserve">　　进口第一类体外诊断试剂为</w:t>
      </w:r>
      <w:r w:rsidRPr="00D92D65">
        <w:rPr>
          <w:rFonts w:ascii="ˎ̥" w:eastAsia="宋体" w:hAnsi="ˎ̥" w:cs="Arial"/>
          <w:color w:val="000000"/>
          <w:kern w:val="0"/>
          <w:sz w:val="18"/>
          <w:szCs w:val="18"/>
        </w:rPr>
        <w:t>“</w:t>
      </w:r>
      <w:r w:rsidRPr="00D92D65">
        <w:rPr>
          <w:rFonts w:ascii="ˎ̥" w:eastAsia="宋体" w:hAnsi="ˎ̥" w:cs="Arial"/>
          <w:color w:val="000000"/>
          <w:kern w:val="0"/>
          <w:sz w:val="18"/>
          <w:szCs w:val="18"/>
        </w:rPr>
        <w:t>国</w:t>
      </w:r>
      <w:r w:rsidRPr="00D92D65">
        <w:rPr>
          <w:rFonts w:ascii="ˎ̥" w:eastAsia="宋体" w:hAnsi="ˎ̥" w:cs="Arial"/>
          <w:color w:val="000000"/>
          <w:kern w:val="0"/>
          <w:sz w:val="18"/>
          <w:szCs w:val="18"/>
        </w:rPr>
        <w:t>”</w:t>
      </w:r>
      <w:r w:rsidRPr="00D92D65">
        <w:rPr>
          <w:rFonts w:ascii="ˎ̥" w:eastAsia="宋体" w:hAnsi="ˎ̥" w:cs="Arial"/>
          <w:color w:val="000000"/>
          <w:kern w:val="0"/>
          <w:sz w:val="18"/>
          <w:szCs w:val="18"/>
        </w:rPr>
        <w:t>字；</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境内第一类体外诊断试剂为备案部门所在地省、自治区、直辖市简称加所在地设区的市级行政区域的简称（无相应设区的市级行政区域时，仅为省、自治区、直辖市的简称）；</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w:t>
      </w:r>
      <w:r w:rsidRPr="00D92D65">
        <w:rPr>
          <w:rFonts w:ascii="ˎ̥" w:eastAsia="宋体" w:hAnsi="ˎ̥" w:cs="Arial"/>
          <w:color w:val="000000"/>
          <w:kern w:val="0"/>
          <w:sz w:val="18"/>
          <w:szCs w:val="18"/>
        </w:rPr>
        <w:t>××××2</w:t>
      </w:r>
      <w:r w:rsidRPr="00D92D65">
        <w:rPr>
          <w:rFonts w:ascii="ˎ̥" w:eastAsia="宋体" w:hAnsi="ˎ̥" w:cs="Arial"/>
          <w:color w:val="000000"/>
          <w:kern w:val="0"/>
          <w:sz w:val="18"/>
          <w:szCs w:val="18"/>
        </w:rPr>
        <w:t>为备案年份；</w:t>
      </w:r>
      <w:r w:rsidRPr="00D92D65">
        <w:rPr>
          <w:rFonts w:ascii="ˎ̥" w:eastAsia="宋体" w:hAnsi="ˎ̥" w:cs="Arial"/>
          <w:color w:val="000000"/>
          <w:kern w:val="0"/>
          <w:sz w:val="15"/>
          <w:szCs w:val="15"/>
        </w:rPr>
        <w:br/>
      </w:r>
      <w:r w:rsidRPr="00D92D65">
        <w:rPr>
          <w:rFonts w:ascii="ˎ̥" w:eastAsia="宋体" w:hAnsi="ˎ̥" w:cs="Arial"/>
          <w:color w:val="000000"/>
          <w:kern w:val="0"/>
          <w:sz w:val="18"/>
          <w:szCs w:val="18"/>
        </w:rPr>
        <w:t xml:space="preserve">　　</w:t>
      </w:r>
      <w:r w:rsidRPr="00D92D65">
        <w:rPr>
          <w:rFonts w:ascii="ˎ̥" w:eastAsia="宋体" w:hAnsi="ˎ̥" w:cs="Arial"/>
          <w:color w:val="000000"/>
          <w:kern w:val="0"/>
          <w:sz w:val="18"/>
          <w:szCs w:val="18"/>
        </w:rPr>
        <w:t>××××3</w:t>
      </w:r>
      <w:r w:rsidRPr="00D92D65">
        <w:rPr>
          <w:rFonts w:ascii="ˎ̥" w:eastAsia="宋体" w:hAnsi="ˎ̥" w:cs="Arial"/>
          <w:color w:val="000000"/>
          <w:kern w:val="0"/>
          <w:sz w:val="18"/>
          <w:szCs w:val="18"/>
        </w:rPr>
        <w:t>为备案流水号。</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第八十七条　体外诊断试剂的应急审批和创新特别审批按照国家食品药品监督管理总局制定的医疗器械应急审批程序和创新医疗器械特别审批程序执行。</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第八十八条　根据工作需要，国家食品药品监督管理总局可以委托省、自治区、直辖市食品药品监督管理部门或者技术机构、相关社会组织承担体外诊断试剂注册有关的具体工作。</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第八十九条　体外诊断试剂注册收费项目、收费标准按照国务院财政、价格主管部门的有关规定执行。</w:t>
      </w:r>
    </w:p>
    <w:p w:rsidR="00D92D65" w:rsidRPr="00D92D65" w:rsidRDefault="00D92D65" w:rsidP="00D92D65">
      <w:pPr>
        <w:widowControl/>
        <w:wordWrap w:val="0"/>
        <w:spacing w:before="100" w:beforeAutospacing="1" w:after="100" w:afterAutospacing="1" w:line="480" w:lineRule="auto"/>
        <w:jc w:val="left"/>
        <w:rPr>
          <w:rFonts w:ascii="ˎ̥" w:eastAsia="宋体" w:hAnsi="ˎ̥" w:cs="Arial"/>
          <w:color w:val="000000"/>
          <w:kern w:val="0"/>
          <w:sz w:val="18"/>
          <w:szCs w:val="18"/>
        </w:rPr>
      </w:pPr>
      <w:r w:rsidRPr="00D92D65">
        <w:rPr>
          <w:rFonts w:ascii="ˎ̥" w:eastAsia="宋体" w:hAnsi="ˎ̥" w:cs="Arial"/>
          <w:color w:val="000000"/>
          <w:kern w:val="0"/>
          <w:sz w:val="18"/>
          <w:szCs w:val="18"/>
        </w:rPr>
        <w:t xml:space="preserve">　　第九十条　本办法自</w:t>
      </w:r>
      <w:r w:rsidRPr="00D92D65">
        <w:rPr>
          <w:rFonts w:ascii="ˎ̥" w:eastAsia="宋体" w:hAnsi="ˎ̥" w:cs="Arial"/>
          <w:color w:val="000000"/>
          <w:kern w:val="0"/>
          <w:sz w:val="18"/>
          <w:szCs w:val="18"/>
        </w:rPr>
        <w:t>2014</w:t>
      </w:r>
      <w:r w:rsidRPr="00D92D65">
        <w:rPr>
          <w:rFonts w:ascii="ˎ̥" w:eastAsia="宋体" w:hAnsi="ˎ̥" w:cs="Arial"/>
          <w:color w:val="000000"/>
          <w:kern w:val="0"/>
          <w:sz w:val="18"/>
          <w:szCs w:val="18"/>
        </w:rPr>
        <w:t>年</w:t>
      </w:r>
      <w:r w:rsidRPr="00D92D65">
        <w:rPr>
          <w:rFonts w:ascii="ˎ̥" w:eastAsia="宋体" w:hAnsi="ˎ̥" w:cs="Arial"/>
          <w:color w:val="000000"/>
          <w:kern w:val="0"/>
          <w:sz w:val="18"/>
          <w:szCs w:val="18"/>
        </w:rPr>
        <w:t>10</w:t>
      </w:r>
      <w:r w:rsidRPr="00D92D65">
        <w:rPr>
          <w:rFonts w:ascii="ˎ̥" w:eastAsia="宋体" w:hAnsi="ˎ̥" w:cs="Arial"/>
          <w:color w:val="000000"/>
          <w:kern w:val="0"/>
          <w:sz w:val="18"/>
          <w:szCs w:val="18"/>
        </w:rPr>
        <w:t>月</w:t>
      </w:r>
      <w:r w:rsidRPr="00D92D65">
        <w:rPr>
          <w:rFonts w:ascii="ˎ̥" w:eastAsia="宋体" w:hAnsi="ˎ̥" w:cs="Arial"/>
          <w:color w:val="000000"/>
          <w:kern w:val="0"/>
          <w:sz w:val="18"/>
          <w:szCs w:val="18"/>
        </w:rPr>
        <w:t>1</w:t>
      </w:r>
      <w:r w:rsidRPr="00D92D65">
        <w:rPr>
          <w:rFonts w:ascii="ˎ̥" w:eastAsia="宋体" w:hAnsi="ˎ̥" w:cs="Arial"/>
          <w:color w:val="000000"/>
          <w:kern w:val="0"/>
          <w:sz w:val="18"/>
          <w:szCs w:val="18"/>
        </w:rPr>
        <w:t>日起施行。</w:t>
      </w:r>
      <w:r w:rsidRPr="00D92D65">
        <w:rPr>
          <w:rFonts w:ascii="ˎ̥" w:eastAsia="宋体" w:hAnsi="ˎ̥" w:cs="Arial"/>
          <w:color w:val="000000"/>
          <w:kern w:val="0"/>
          <w:sz w:val="18"/>
          <w:szCs w:val="18"/>
        </w:rPr>
        <w:t xml:space="preserve"> </w:t>
      </w:r>
    </w:p>
    <w:p w:rsidR="00B30C60" w:rsidRPr="00D92D65" w:rsidRDefault="00B30C60"/>
    <w:sectPr w:rsidR="00B30C60" w:rsidRPr="00D92D65" w:rsidSect="00B30C6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92D65"/>
    <w:rsid w:val="00B30C60"/>
    <w:rsid w:val="00D92D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C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92D6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1849</Words>
  <Characters>10540</Characters>
  <Application>Microsoft Office Word</Application>
  <DocSecurity>0</DocSecurity>
  <Lines>87</Lines>
  <Paragraphs>24</Paragraphs>
  <ScaleCrop>false</ScaleCrop>
  <Company>Lenovo (Beijing) Limited</Company>
  <LinksUpToDate>false</LinksUpToDate>
  <CharactersWithSpaces>12365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晓也</dc:creator>
  <cp:keywords/>
  <dc:description/>
  <cp:lastModifiedBy>晓也</cp:lastModifiedBy>
  <cp:revision>2</cp:revision>
  <dcterms:created xsi:type="dcterms:W3CDTF">2016-06-01T03:06:00Z</dcterms:created>
  <dcterms:modified xsi:type="dcterms:W3CDTF">2016-06-01T03:06:00Z</dcterms:modified>
</cp:coreProperties>
</file>